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AE" w:rsidRPr="003B1B34" w:rsidRDefault="004B6870" w:rsidP="00213B2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Реализация Областной </w:t>
      </w:r>
      <w:r w:rsidR="00B57C8F">
        <w:rPr>
          <w:rFonts w:ascii="Times New Roman" w:hAnsi="Times New Roman" w:cs="Times New Roman"/>
          <w:b/>
          <w:sz w:val="28"/>
          <w:szCs w:val="28"/>
        </w:rPr>
        <w:t xml:space="preserve">программы капитального ремонта </w:t>
      </w:r>
      <w:r w:rsidR="00BE7D4E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7477F9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DC5260" w:rsidRPr="00A73C89" w:rsidRDefault="00DC5260" w:rsidP="00DC5260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73C89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DC5260" w:rsidRPr="00213B24" w:rsidRDefault="00DC5260" w:rsidP="00DC5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13B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Фонд капитального ремонта многоквартирных домов Вологодской области или Региональный оператор – юридическое лицо, созданное в организационно-правовой форме «фонд» осуществляет свою деятельность за счет средств областного бюджета, которые выделяются ему в виде имущественного взноса. Региональный оператор обеспечивает проведение капитального ремонта многоквартирного дома, собственники помещений в котором формируют фонд капитального ремонта у регионального оператора, в объеме и сроки, которые предусмотрены региональной программой капитального ремонта.</w:t>
      </w:r>
    </w:p>
    <w:p w:rsidR="00DC5260" w:rsidRDefault="00DC5260" w:rsidP="00DC5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13B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Взносы обязаны уплачивать все собственники жилья в многоквартирном доме. Минимальный размер такого взноса определен Правительством Вологодской области</w:t>
      </w:r>
      <w:r w:rsidR="00D470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Pr="00213B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DF47D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D470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1 </w:t>
      </w:r>
      <w:r w:rsidR="00AD1D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января 2020</w:t>
      </w:r>
      <w:r w:rsidR="00D470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г.</w:t>
      </w:r>
      <w:r w:rsidR="00D470C1" w:rsidRPr="00D470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для домов, не оборудованных лифто</w:t>
      </w:r>
      <w:r w:rsidR="00AD1D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вым оборудованием, он составил 8</w:t>
      </w:r>
      <w:r w:rsidR="00D470C1" w:rsidRPr="00D470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рублей </w:t>
      </w:r>
      <w:r w:rsidR="00AD1D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14</w:t>
      </w:r>
      <w:r w:rsidR="00D470C1" w:rsidRPr="00D470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копеек с квадратного метра площади помещения, а для домов, оборудованных лиф</w:t>
      </w:r>
      <w:r w:rsidR="00AD1D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тами, плата составила 9 рублей 7</w:t>
      </w:r>
      <w:r w:rsidR="00D470C1" w:rsidRPr="00D470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 копеек с квадратного метра площади помещения.</w:t>
      </w:r>
    </w:p>
    <w:p w:rsidR="00DC5260" w:rsidRPr="00213B24" w:rsidRDefault="00DC5260" w:rsidP="00DC5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13B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декабре 2013 года была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утверждена О</w:t>
      </w:r>
      <w:r w:rsidRPr="00213B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бластная программа капитального ремонта общего имущества многоквартирных домов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территории Вологодской области</w:t>
      </w:r>
      <w:r w:rsidRPr="00213B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которая является отправным документом для проведения всех организационных и подготовительных работ по проведению капитального ремонта общего имущества многоквартирных домов.</w:t>
      </w:r>
      <w:r w:rsidR="00B57C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DC226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Последняя актуализация </w:t>
      </w:r>
      <w:r w:rsidR="00B57C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Областной программы</w:t>
      </w:r>
      <w:r w:rsidR="00DC226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была</w:t>
      </w:r>
      <w:r w:rsidR="00B57C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постановление</w:t>
      </w:r>
      <w:r w:rsidR="00DC226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</w:t>
      </w:r>
      <w:r w:rsidR="00B57C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DC226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Правительства области № </w:t>
      </w:r>
      <w:r w:rsidR="00BE7D4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1555</w:t>
      </w:r>
      <w:r w:rsidR="00DC226D" w:rsidRPr="00CA6E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от 2</w:t>
      </w:r>
      <w:r w:rsidR="00BE7D4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</w:t>
      </w:r>
      <w:r w:rsidR="00DC226D" w:rsidRPr="00CA6E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="00BE7D4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12</w:t>
      </w:r>
      <w:r w:rsidR="00DC226D" w:rsidRPr="00CA6E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.20</w:t>
      </w:r>
      <w:r w:rsidR="00CA6ED7" w:rsidRPr="00CA6E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</w:t>
      </w:r>
      <w:r w:rsidR="00DC226D" w:rsidRPr="00CA6ED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г.</w:t>
      </w:r>
      <w:r w:rsidR="00B57C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4B1769" w:rsidRPr="004B1769" w:rsidRDefault="004B1769" w:rsidP="002F7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769" w:rsidRPr="004B1769" w:rsidRDefault="002F7DAD" w:rsidP="002F7DAD">
      <w:pPr>
        <w:shd w:val="clear" w:color="auto" w:fill="FFFFFF"/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A1158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B1769" w:rsidRPr="004B1769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Информационная деятельность Регионального оператора. </w:t>
      </w:r>
    </w:p>
    <w:p w:rsidR="004B1769" w:rsidRPr="004B1769" w:rsidRDefault="004B1769" w:rsidP="004B17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769" w:rsidRPr="004B1769" w:rsidRDefault="004B1769" w:rsidP="004B17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769">
        <w:rPr>
          <w:rFonts w:ascii="Times New Roman" w:eastAsia="Calibri" w:hAnsi="Times New Roman" w:cs="Times New Roman"/>
          <w:sz w:val="28"/>
          <w:szCs w:val="28"/>
        </w:rPr>
        <w:t>Региональный оператор доводит всю основную информацию до собственников, которые хотят разобраться в новой системе капитальных ремонтов. Пожалуй, сегодня в области уже практически не осталось людей, которые бы ничего не слышали о новой системе капитальных ремонтов.</w:t>
      </w:r>
    </w:p>
    <w:p w:rsidR="004B1769" w:rsidRPr="004B1769" w:rsidRDefault="004B1769" w:rsidP="004B17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769">
        <w:rPr>
          <w:rFonts w:ascii="Times New Roman" w:eastAsia="Calibri" w:hAnsi="Times New Roman" w:cs="Times New Roman"/>
          <w:sz w:val="28"/>
          <w:szCs w:val="28"/>
        </w:rPr>
        <w:t xml:space="preserve">Информация гражданам предоставляется любыми доступными средствами: </w:t>
      </w:r>
    </w:p>
    <w:p w:rsidR="004B1769" w:rsidRPr="004B1769" w:rsidRDefault="004B1769" w:rsidP="004B17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769">
        <w:rPr>
          <w:rFonts w:ascii="Times New Roman" w:eastAsia="Calibri" w:hAnsi="Times New Roman" w:cs="Times New Roman"/>
          <w:sz w:val="28"/>
          <w:szCs w:val="28"/>
        </w:rPr>
        <w:t xml:space="preserve">- через официальный сайт организации </w:t>
      </w:r>
      <w:r w:rsidRPr="004B1769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4B1769">
        <w:rPr>
          <w:rFonts w:ascii="Times New Roman" w:eastAsia="Calibri" w:hAnsi="Times New Roman" w:cs="Times New Roman"/>
          <w:sz w:val="28"/>
          <w:szCs w:val="28"/>
        </w:rPr>
        <w:t>//фкрмкд35.рф, который работает с февраля 2015 года;</w:t>
      </w:r>
    </w:p>
    <w:p w:rsidR="004B1769" w:rsidRPr="004B1769" w:rsidRDefault="004B1769" w:rsidP="004B17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769">
        <w:rPr>
          <w:rFonts w:ascii="Times New Roman" w:eastAsia="Calibri" w:hAnsi="Times New Roman" w:cs="Times New Roman"/>
          <w:sz w:val="28"/>
          <w:szCs w:val="28"/>
        </w:rPr>
        <w:t>- через социальные сети. В августе 2016 года создана общедоступная страница в социальной сети «</w:t>
      </w:r>
      <w:proofErr w:type="spellStart"/>
      <w:r w:rsidRPr="004B1769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4B176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4B1769">
        <w:rPr>
          <w:rFonts w:ascii="Times New Roman" w:hAnsi="Times New Roman" w:cs="Times New Roman"/>
          <w:sz w:val="28"/>
          <w:szCs w:val="28"/>
        </w:rPr>
        <w:t>(https://vk.com/fondkapremonta35), где ежедневно размещаются информационные материалы, а также проводится консультация граждан по интересующим вопросам.</w:t>
      </w:r>
      <w:r w:rsidRPr="004B17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7D4E">
        <w:rPr>
          <w:rFonts w:ascii="Times New Roman" w:eastAsia="Calibri" w:hAnsi="Times New Roman" w:cs="Times New Roman"/>
          <w:sz w:val="28"/>
          <w:szCs w:val="28"/>
        </w:rPr>
        <w:t>Н</w:t>
      </w:r>
      <w:r w:rsidRPr="004B1769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BE7D4E">
        <w:rPr>
          <w:rFonts w:ascii="Times New Roman" w:eastAsia="Calibri" w:hAnsi="Times New Roman" w:cs="Times New Roman"/>
          <w:sz w:val="28"/>
          <w:szCs w:val="28"/>
        </w:rPr>
        <w:t>31.12</w:t>
      </w:r>
      <w:r w:rsidR="00DC226D" w:rsidRPr="00CA6ED7">
        <w:rPr>
          <w:rFonts w:ascii="Times New Roman" w:eastAsia="Calibri" w:hAnsi="Times New Roman" w:cs="Times New Roman"/>
          <w:sz w:val="28"/>
          <w:szCs w:val="28"/>
        </w:rPr>
        <w:t>.2020</w:t>
      </w:r>
      <w:r w:rsidRPr="004B1769">
        <w:rPr>
          <w:rFonts w:ascii="Times New Roman" w:eastAsia="Calibri" w:hAnsi="Times New Roman" w:cs="Times New Roman"/>
          <w:sz w:val="28"/>
          <w:szCs w:val="28"/>
        </w:rPr>
        <w:t xml:space="preserve"> года в группе уже </w:t>
      </w:r>
      <w:r w:rsidR="00BE7D4E">
        <w:rPr>
          <w:rFonts w:ascii="Times New Roman" w:eastAsia="Calibri" w:hAnsi="Times New Roman" w:cs="Times New Roman"/>
          <w:sz w:val="28"/>
          <w:szCs w:val="28"/>
        </w:rPr>
        <w:t>5600</w:t>
      </w:r>
      <w:r w:rsidRPr="004B1769">
        <w:rPr>
          <w:rFonts w:ascii="Times New Roman" w:eastAsia="Calibri" w:hAnsi="Times New Roman" w:cs="Times New Roman"/>
          <w:sz w:val="28"/>
          <w:szCs w:val="28"/>
        </w:rPr>
        <w:t xml:space="preserve"> участников. В среднем в группу приходит порядка </w:t>
      </w:r>
      <w:r w:rsidR="00BE7D4E">
        <w:rPr>
          <w:rFonts w:ascii="Times New Roman" w:eastAsia="Calibri" w:hAnsi="Times New Roman" w:cs="Times New Roman"/>
          <w:sz w:val="28"/>
          <w:szCs w:val="28"/>
        </w:rPr>
        <w:t>8</w:t>
      </w:r>
      <w:r w:rsidRPr="00CA6ED7">
        <w:rPr>
          <w:rFonts w:ascii="Times New Roman" w:eastAsia="Calibri" w:hAnsi="Times New Roman" w:cs="Times New Roman"/>
          <w:sz w:val="28"/>
          <w:szCs w:val="28"/>
        </w:rPr>
        <w:t>00</w:t>
      </w:r>
      <w:r w:rsidRPr="004B1769">
        <w:rPr>
          <w:rFonts w:ascii="Times New Roman" w:eastAsia="Calibri" w:hAnsi="Times New Roman" w:cs="Times New Roman"/>
          <w:sz w:val="28"/>
          <w:szCs w:val="28"/>
        </w:rPr>
        <w:t xml:space="preserve"> сообщений в месяц.</w:t>
      </w:r>
    </w:p>
    <w:p w:rsidR="00164594" w:rsidRDefault="004B1769" w:rsidP="004B17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769">
        <w:rPr>
          <w:rFonts w:ascii="Times New Roman" w:eastAsia="Calibri" w:hAnsi="Times New Roman" w:cs="Times New Roman"/>
          <w:sz w:val="28"/>
          <w:szCs w:val="28"/>
        </w:rPr>
        <w:t xml:space="preserve">- граждане приходят на личный прием для выяснения возникающих вопросов по квитанциям на уплату взносов на капитальный ремонт. </w:t>
      </w:r>
      <w:r w:rsidRPr="004B17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Так в 2016 </w:t>
      </w:r>
      <w:r w:rsidRPr="004B17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году на прием в офис г. Вологды обратилось порядка 17 тысяч человек, в 2017 году количество обращений снизилось почти вдвое 9,2 тысяч человек, в 2018 году количество обращений возросло до 9660 человек. </w:t>
      </w:r>
      <w:r w:rsidR="001671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4B1769">
        <w:rPr>
          <w:rFonts w:ascii="Times New Roman" w:eastAsia="Calibri" w:hAnsi="Times New Roman" w:cs="Times New Roman"/>
          <w:sz w:val="28"/>
          <w:szCs w:val="28"/>
        </w:rPr>
        <w:t xml:space="preserve"> 2019 год</w:t>
      </w:r>
      <w:r w:rsidR="001671D7">
        <w:rPr>
          <w:rFonts w:ascii="Times New Roman" w:eastAsia="Calibri" w:hAnsi="Times New Roman" w:cs="Times New Roman"/>
          <w:sz w:val="28"/>
          <w:szCs w:val="28"/>
        </w:rPr>
        <w:t>у</w:t>
      </w:r>
      <w:r w:rsidRPr="004B1769">
        <w:rPr>
          <w:rFonts w:ascii="Times New Roman" w:eastAsia="Calibri" w:hAnsi="Times New Roman" w:cs="Times New Roman"/>
          <w:sz w:val="28"/>
          <w:szCs w:val="28"/>
        </w:rPr>
        <w:t xml:space="preserve"> к специалистам Фонда обратилось – </w:t>
      </w:r>
      <w:r w:rsidR="00DC226D">
        <w:rPr>
          <w:rFonts w:ascii="Times New Roman" w:eastAsia="Calibri" w:hAnsi="Times New Roman" w:cs="Times New Roman"/>
          <w:sz w:val="28"/>
          <w:szCs w:val="28"/>
        </w:rPr>
        <w:t>11 561</w:t>
      </w:r>
      <w:r w:rsidRPr="004B1769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  <w:r w:rsidR="001671D7">
        <w:rPr>
          <w:rFonts w:ascii="Times New Roman" w:eastAsia="Calibri" w:hAnsi="Times New Roman" w:cs="Times New Roman"/>
          <w:sz w:val="28"/>
          <w:szCs w:val="28"/>
        </w:rPr>
        <w:t xml:space="preserve">За 2020 год обратилось на прием – </w:t>
      </w:r>
      <w:r w:rsidR="00BE7D4E">
        <w:rPr>
          <w:rFonts w:ascii="Times New Roman" w:eastAsia="Calibri" w:hAnsi="Times New Roman" w:cs="Times New Roman"/>
          <w:sz w:val="28"/>
          <w:szCs w:val="28"/>
        </w:rPr>
        <w:t>8 152</w:t>
      </w:r>
      <w:r w:rsidR="001671D7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BE7D4E">
        <w:rPr>
          <w:rFonts w:ascii="Times New Roman" w:eastAsia="Calibri" w:hAnsi="Times New Roman" w:cs="Times New Roman"/>
          <w:sz w:val="28"/>
          <w:szCs w:val="28"/>
        </w:rPr>
        <w:t>а</w:t>
      </w:r>
      <w:r w:rsidR="001671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1769" w:rsidRPr="004B1769" w:rsidRDefault="004B1769" w:rsidP="004B17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769">
        <w:rPr>
          <w:rFonts w:ascii="Times New Roman" w:eastAsia="Calibri" w:hAnsi="Times New Roman" w:cs="Times New Roman"/>
          <w:sz w:val="28"/>
          <w:szCs w:val="28"/>
        </w:rPr>
        <w:t>- по телефону «</w:t>
      </w:r>
      <w:r w:rsidR="001671D7">
        <w:rPr>
          <w:rFonts w:ascii="Times New Roman" w:eastAsia="Calibri" w:hAnsi="Times New Roman" w:cs="Times New Roman"/>
          <w:sz w:val="28"/>
          <w:szCs w:val="28"/>
        </w:rPr>
        <w:t>Для справок</w:t>
      </w:r>
      <w:r w:rsidR="00BE7D4E">
        <w:rPr>
          <w:rFonts w:ascii="Times New Roman" w:eastAsia="Calibri" w:hAnsi="Times New Roman" w:cs="Times New Roman"/>
          <w:sz w:val="28"/>
          <w:szCs w:val="28"/>
        </w:rPr>
        <w:t>», который</w:t>
      </w:r>
      <w:r w:rsidRPr="004B1769">
        <w:rPr>
          <w:rFonts w:ascii="Times New Roman" w:eastAsia="Calibri" w:hAnsi="Times New Roman" w:cs="Times New Roman"/>
          <w:sz w:val="28"/>
          <w:szCs w:val="28"/>
        </w:rPr>
        <w:t xml:space="preserve"> работает с января 2015 года. В 2016 году получили консультацию по телефону порядка 22 тыс. человек, в 2017 году количество обращений резко снизилось - 16,3 тыс. человек, в 2018 году – 12,9 тыс.</w:t>
      </w:r>
      <w:r w:rsidR="001671D7">
        <w:rPr>
          <w:rFonts w:ascii="Times New Roman" w:eastAsia="Calibri" w:hAnsi="Times New Roman" w:cs="Times New Roman"/>
          <w:sz w:val="28"/>
          <w:szCs w:val="28"/>
        </w:rPr>
        <w:t>,</w:t>
      </w:r>
      <w:r w:rsidRPr="004B17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71D7">
        <w:rPr>
          <w:rFonts w:ascii="Times New Roman" w:eastAsia="Calibri" w:hAnsi="Times New Roman" w:cs="Times New Roman"/>
          <w:sz w:val="28"/>
          <w:szCs w:val="28"/>
        </w:rPr>
        <w:t>в 2019</w:t>
      </w:r>
      <w:r w:rsidR="001671D7" w:rsidRPr="004B176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1671D7">
        <w:rPr>
          <w:rFonts w:ascii="Times New Roman" w:eastAsia="Calibri" w:hAnsi="Times New Roman" w:cs="Times New Roman"/>
          <w:sz w:val="28"/>
          <w:szCs w:val="28"/>
        </w:rPr>
        <w:t>15,92</w:t>
      </w:r>
      <w:r w:rsidR="001671D7" w:rsidRPr="004B1769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Pr="004B1769">
        <w:rPr>
          <w:rFonts w:ascii="Times New Roman" w:eastAsia="Calibri" w:hAnsi="Times New Roman" w:cs="Times New Roman"/>
          <w:sz w:val="28"/>
          <w:szCs w:val="28"/>
        </w:rPr>
        <w:t>человек. За 20</w:t>
      </w:r>
      <w:r w:rsidR="001671D7">
        <w:rPr>
          <w:rFonts w:ascii="Times New Roman" w:eastAsia="Calibri" w:hAnsi="Times New Roman" w:cs="Times New Roman"/>
          <w:sz w:val="28"/>
          <w:szCs w:val="28"/>
        </w:rPr>
        <w:t>20</w:t>
      </w:r>
      <w:r w:rsidRPr="004B1769">
        <w:rPr>
          <w:rFonts w:ascii="Times New Roman" w:eastAsia="Calibri" w:hAnsi="Times New Roman" w:cs="Times New Roman"/>
          <w:sz w:val="28"/>
          <w:szCs w:val="28"/>
        </w:rPr>
        <w:t xml:space="preserve"> год получили консультацию по телефону – </w:t>
      </w:r>
      <w:r w:rsidR="00BE7D4E">
        <w:rPr>
          <w:rFonts w:ascii="Times New Roman" w:eastAsia="Calibri" w:hAnsi="Times New Roman" w:cs="Times New Roman"/>
          <w:sz w:val="28"/>
          <w:szCs w:val="28"/>
        </w:rPr>
        <w:t>26,90</w:t>
      </w:r>
      <w:r w:rsidR="00164594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4B1769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4B1769" w:rsidRPr="004B1769" w:rsidRDefault="004B1769" w:rsidP="004B1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69">
        <w:rPr>
          <w:rFonts w:ascii="Times New Roman" w:hAnsi="Times New Roman" w:cs="Times New Roman"/>
          <w:sz w:val="28"/>
          <w:szCs w:val="28"/>
        </w:rPr>
        <w:t>В основном при прямом общении со специалистами Фонда граждане задают вопросы касаемо начислений и произведенных оплат, также интересуются передачей информации по ЕДК;</w:t>
      </w:r>
    </w:p>
    <w:p w:rsidR="004B1769" w:rsidRPr="004B1769" w:rsidRDefault="004B1769" w:rsidP="004B1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69">
        <w:rPr>
          <w:rFonts w:ascii="Times New Roman" w:hAnsi="Times New Roman" w:cs="Times New Roman"/>
          <w:sz w:val="28"/>
          <w:szCs w:val="28"/>
        </w:rPr>
        <w:t xml:space="preserve">- </w:t>
      </w:r>
      <w:r w:rsidR="00164594">
        <w:rPr>
          <w:rFonts w:ascii="Times New Roman" w:hAnsi="Times New Roman" w:cs="Times New Roman"/>
          <w:sz w:val="28"/>
          <w:szCs w:val="28"/>
        </w:rPr>
        <w:t>используется</w:t>
      </w:r>
      <w:r w:rsidRPr="004B1769">
        <w:rPr>
          <w:rFonts w:ascii="Times New Roman" w:hAnsi="Times New Roman" w:cs="Times New Roman"/>
          <w:sz w:val="28"/>
          <w:szCs w:val="28"/>
        </w:rPr>
        <w:t xml:space="preserve"> электронная почта регионального оператора, </w:t>
      </w:r>
    </w:p>
    <w:p w:rsidR="004B1769" w:rsidRPr="004B1769" w:rsidRDefault="004B1769" w:rsidP="004B1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69">
        <w:rPr>
          <w:rFonts w:ascii="Times New Roman" w:hAnsi="Times New Roman" w:cs="Times New Roman"/>
          <w:sz w:val="28"/>
          <w:szCs w:val="28"/>
        </w:rPr>
        <w:t>- принимаются обращения по почте России;</w:t>
      </w:r>
    </w:p>
    <w:p w:rsidR="004B1769" w:rsidRPr="004B1769" w:rsidRDefault="004B1769" w:rsidP="004B1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69">
        <w:rPr>
          <w:rFonts w:ascii="Times New Roman" w:hAnsi="Times New Roman" w:cs="Times New Roman"/>
          <w:sz w:val="28"/>
          <w:szCs w:val="28"/>
        </w:rPr>
        <w:t xml:space="preserve">- информационная деятельность регионального оператора ведется также посредством средств массовой информации: газеты, телевидение и радио. </w:t>
      </w:r>
    </w:p>
    <w:p w:rsidR="00792EF5" w:rsidRDefault="00792EF5" w:rsidP="004B6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84B" w:rsidRPr="00AF4AC6" w:rsidRDefault="00355B48" w:rsidP="00DA1158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AC6">
        <w:rPr>
          <w:rFonts w:ascii="Times New Roman" w:hAnsi="Times New Roman" w:cs="Times New Roman"/>
          <w:b/>
          <w:sz w:val="28"/>
          <w:szCs w:val="28"/>
        </w:rPr>
        <w:t>Формирование фондов капитального ремонта собственниками многоквартирных домо</w:t>
      </w:r>
      <w:r w:rsidR="003045D2">
        <w:rPr>
          <w:rFonts w:ascii="Times New Roman" w:hAnsi="Times New Roman" w:cs="Times New Roman"/>
          <w:b/>
          <w:sz w:val="28"/>
          <w:szCs w:val="28"/>
        </w:rPr>
        <w:t>в.</w:t>
      </w:r>
    </w:p>
    <w:p w:rsidR="00363A44" w:rsidRDefault="00363A44" w:rsidP="00363A44">
      <w:pPr>
        <w:pStyle w:val="aa"/>
        <w:spacing w:after="0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63A44">
        <w:rPr>
          <w:rFonts w:ascii="Times New Roman" w:hAnsi="Times New Roman" w:cs="Times New Roman"/>
          <w:sz w:val="28"/>
          <w:szCs w:val="28"/>
        </w:rPr>
        <w:t xml:space="preserve">В областную программу капитального ремонта многоквартирных домов после последней актуализации в </w:t>
      </w:r>
      <w:r w:rsidR="00BC78E1">
        <w:rPr>
          <w:rFonts w:ascii="Times New Roman" w:hAnsi="Times New Roman" w:cs="Times New Roman"/>
          <w:sz w:val="28"/>
          <w:szCs w:val="28"/>
        </w:rPr>
        <w:t>декабре</w:t>
      </w:r>
      <w:r w:rsidR="001671D7" w:rsidRPr="00122DF9">
        <w:rPr>
          <w:rFonts w:ascii="Times New Roman" w:hAnsi="Times New Roman" w:cs="Times New Roman"/>
          <w:sz w:val="28"/>
          <w:szCs w:val="28"/>
        </w:rPr>
        <w:t xml:space="preserve"> 2020</w:t>
      </w:r>
      <w:r w:rsidRPr="00122DF9">
        <w:rPr>
          <w:rFonts w:ascii="Times New Roman" w:hAnsi="Times New Roman" w:cs="Times New Roman"/>
          <w:sz w:val="28"/>
          <w:szCs w:val="28"/>
        </w:rPr>
        <w:t xml:space="preserve"> года включено </w:t>
      </w:r>
      <w:r w:rsidR="001671D7" w:rsidRPr="00122DF9">
        <w:rPr>
          <w:rFonts w:ascii="Times New Roman" w:hAnsi="Times New Roman" w:cs="Times New Roman"/>
          <w:sz w:val="28"/>
          <w:szCs w:val="28"/>
        </w:rPr>
        <w:t>97</w:t>
      </w:r>
      <w:r w:rsidR="00BC78E1">
        <w:rPr>
          <w:rFonts w:ascii="Times New Roman" w:hAnsi="Times New Roman" w:cs="Times New Roman"/>
          <w:sz w:val="28"/>
          <w:szCs w:val="28"/>
        </w:rPr>
        <w:t>42</w:t>
      </w:r>
      <w:r w:rsidRPr="00363A44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D84B4E">
        <w:rPr>
          <w:rFonts w:ascii="Times New Roman" w:hAnsi="Times New Roman" w:cs="Times New Roman"/>
          <w:sz w:val="28"/>
          <w:szCs w:val="28"/>
        </w:rPr>
        <w:t>.</w:t>
      </w:r>
    </w:p>
    <w:p w:rsidR="004B1769" w:rsidRPr="004B1769" w:rsidRDefault="004B1769" w:rsidP="004B1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69">
        <w:rPr>
          <w:rFonts w:ascii="Times New Roman" w:hAnsi="Times New Roman" w:cs="Times New Roman"/>
          <w:sz w:val="28"/>
          <w:szCs w:val="28"/>
        </w:rPr>
        <w:t>Всего на 01.01.20</w:t>
      </w:r>
      <w:r w:rsidR="001671D7">
        <w:rPr>
          <w:rFonts w:ascii="Times New Roman" w:hAnsi="Times New Roman" w:cs="Times New Roman"/>
          <w:sz w:val="28"/>
          <w:szCs w:val="28"/>
        </w:rPr>
        <w:t>20</w:t>
      </w:r>
      <w:r w:rsidRPr="004B1769">
        <w:rPr>
          <w:rFonts w:ascii="Times New Roman" w:hAnsi="Times New Roman" w:cs="Times New Roman"/>
          <w:sz w:val="28"/>
          <w:szCs w:val="28"/>
        </w:rPr>
        <w:t xml:space="preserve"> на специальных </w:t>
      </w:r>
      <w:r w:rsidRPr="00122DF9">
        <w:rPr>
          <w:rFonts w:ascii="Times New Roman" w:hAnsi="Times New Roman" w:cs="Times New Roman"/>
          <w:sz w:val="28"/>
          <w:szCs w:val="28"/>
        </w:rPr>
        <w:t xml:space="preserve">счетах 2 </w:t>
      </w:r>
      <w:r w:rsidR="00122DF9" w:rsidRPr="00122DF9">
        <w:rPr>
          <w:rFonts w:ascii="Times New Roman" w:hAnsi="Times New Roman" w:cs="Times New Roman"/>
          <w:sz w:val="28"/>
          <w:szCs w:val="28"/>
        </w:rPr>
        <w:t>614</w:t>
      </w:r>
      <w:r w:rsidRPr="00122DF9">
        <w:rPr>
          <w:rFonts w:ascii="Times New Roman" w:hAnsi="Times New Roman" w:cs="Times New Roman"/>
          <w:sz w:val="28"/>
          <w:szCs w:val="28"/>
        </w:rPr>
        <w:t xml:space="preserve"> МКД или 2</w:t>
      </w:r>
      <w:r w:rsidR="00122DF9" w:rsidRPr="00122DF9">
        <w:rPr>
          <w:rFonts w:ascii="Times New Roman" w:hAnsi="Times New Roman" w:cs="Times New Roman"/>
          <w:sz w:val="28"/>
          <w:szCs w:val="28"/>
        </w:rPr>
        <w:t>6</w:t>
      </w:r>
      <w:r w:rsidRPr="00122DF9">
        <w:rPr>
          <w:rFonts w:ascii="Times New Roman" w:hAnsi="Times New Roman" w:cs="Times New Roman"/>
          <w:sz w:val="28"/>
          <w:szCs w:val="28"/>
        </w:rPr>
        <w:t>,5</w:t>
      </w:r>
      <w:r w:rsidR="00122DF9" w:rsidRPr="00122DF9">
        <w:rPr>
          <w:rFonts w:ascii="Times New Roman" w:hAnsi="Times New Roman" w:cs="Times New Roman"/>
          <w:sz w:val="28"/>
          <w:szCs w:val="28"/>
        </w:rPr>
        <w:t>6</w:t>
      </w:r>
      <w:r w:rsidRPr="004B1769">
        <w:rPr>
          <w:rFonts w:ascii="Times New Roman" w:hAnsi="Times New Roman" w:cs="Times New Roman"/>
          <w:sz w:val="28"/>
          <w:szCs w:val="28"/>
        </w:rPr>
        <w:t xml:space="preserve"> % от общего числа домов, по состоянию на </w:t>
      </w:r>
      <w:r w:rsidR="0000108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01080">
        <w:rPr>
          <w:rFonts w:ascii="Times New Roman" w:hAnsi="Times New Roman" w:cs="Times New Roman"/>
          <w:sz w:val="28"/>
          <w:szCs w:val="28"/>
        </w:rPr>
        <w:t>2</w:t>
      </w:r>
      <w:r w:rsidRPr="004B1769">
        <w:rPr>
          <w:rFonts w:ascii="Times New Roman" w:hAnsi="Times New Roman" w:cs="Times New Roman"/>
          <w:sz w:val="28"/>
          <w:szCs w:val="28"/>
        </w:rPr>
        <w:t>.20</w:t>
      </w:r>
      <w:r w:rsidR="001671D7">
        <w:rPr>
          <w:rFonts w:ascii="Times New Roman" w:hAnsi="Times New Roman" w:cs="Times New Roman"/>
          <w:sz w:val="28"/>
          <w:szCs w:val="28"/>
        </w:rPr>
        <w:t>20</w:t>
      </w:r>
      <w:r w:rsidRPr="004B1769">
        <w:rPr>
          <w:rFonts w:ascii="Times New Roman" w:hAnsi="Times New Roman" w:cs="Times New Roman"/>
          <w:sz w:val="28"/>
          <w:szCs w:val="28"/>
        </w:rPr>
        <w:t xml:space="preserve"> г. на специальных счетах уже </w:t>
      </w:r>
      <w:r w:rsidR="00122DF9">
        <w:rPr>
          <w:rFonts w:ascii="Times New Roman" w:hAnsi="Times New Roman" w:cs="Times New Roman"/>
          <w:sz w:val="28"/>
          <w:szCs w:val="28"/>
        </w:rPr>
        <w:t>2724</w:t>
      </w:r>
      <w:r w:rsidRPr="004B1769">
        <w:rPr>
          <w:rFonts w:ascii="Times New Roman" w:hAnsi="Times New Roman" w:cs="Times New Roman"/>
          <w:sz w:val="28"/>
          <w:szCs w:val="28"/>
        </w:rPr>
        <w:t xml:space="preserve"> дома или </w:t>
      </w:r>
      <w:r w:rsidR="00001080" w:rsidRPr="00122DF9">
        <w:rPr>
          <w:rFonts w:ascii="Times New Roman" w:hAnsi="Times New Roman" w:cs="Times New Roman"/>
          <w:sz w:val="28"/>
          <w:szCs w:val="28"/>
        </w:rPr>
        <w:t>2</w:t>
      </w:r>
      <w:r w:rsidR="00122DF9" w:rsidRPr="00122DF9">
        <w:rPr>
          <w:rFonts w:ascii="Times New Roman" w:hAnsi="Times New Roman" w:cs="Times New Roman"/>
          <w:sz w:val="28"/>
          <w:szCs w:val="28"/>
        </w:rPr>
        <w:t>7</w:t>
      </w:r>
      <w:r w:rsidR="00001080" w:rsidRPr="00122DF9">
        <w:rPr>
          <w:rFonts w:ascii="Times New Roman" w:hAnsi="Times New Roman" w:cs="Times New Roman"/>
          <w:sz w:val="28"/>
          <w:szCs w:val="28"/>
        </w:rPr>
        <w:t>,</w:t>
      </w:r>
      <w:r w:rsidR="00122DF9">
        <w:rPr>
          <w:rFonts w:ascii="Times New Roman" w:hAnsi="Times New Roman" w:cs="Times New Roman"/>
          <w:sz w:val="28"/>
          <w:szCs w:val="28"/>
        </w:rPr>
        <w:t>9</w:t>
      </w:r>
      <w:r w:rsidRPr="004B1769">
        <w:rPr>
          <w:rFonts w:ascii="Times New Roman" w:hAnsi="Times New Roman" w:cs="Times New Roman"/>
          <w:sz w:val="28"/>
          <w:szCs w:val="28"/>
        </w:rPr>
        <w:t>%.</w:t>
      </w:r>
    </w:p>
    <w:p w:rsidR="004B1769" w:rsidRPr="002F7DAD" w:rsidRDefault="00001080" w:rsidP="002F7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4B1769" w:rsidRPr="004B1769">
        <w:rPr>
          <w:rFonts w:ascii="Times New Roman" w:hAnsi="Times New Roman" w:cs="Times New Roman"/>
          <w:sz w:val="28"/>
          <w:szCs w:val="28"/>
        </w:rPr>
        <w:t xml:space="preserve"> 20</w:t>
      </w:r>
      <w:r w:rsidR="001671D7">
        <w:rPr>
          <w:rFonts w:ascii="Times New Roman" w:hAnsi="Times New Roman" w:cs="Times New Roman"/>
          <w:sz w:val="28"/>
          <w:szCs w:val="28"/>
        </w:rPr>
        <w:t>20</w:t>
      </w:r>
      <w:r w:rsidR="004B1769" w:rsidRPr="004B1769">
        <w:rPr>
          <w:rFonts w:ascii="Times New Roman" w:hAnsi="Times New Roman" w:cs="Times New Roman"/>
          <w:sz w:val="28"/>
          <w:szCs w:val="28"/>
        </w:rPr>
        <w:t xml:space="preserve"> год изменили способ формирования с общего счета на специальный счет </w:t>
      </w:r>
      <w:r w:rsidR="00122DF9">
        <w:rPr>
          <w:rFonts w:ascii="Times New Roman" w:hAnsi="Times New Roman" w:cs="Times New Roman"/>
          <w:sz w:val="28"/>
          <w:szCs w:val="28"/>
        </w:rPr>
        <w:t>110</w:t>
      </w:r>
      <w:r w:rsidR="004B1769" w:rsidRPr="004B1769">
        <w:rPr>
          <w:rFonts w:ascii="Times New Roman" w:hAnsi="Times New Roman" w:cs="Times New Roman"/>
          <w:sz w:val="28"/>
          <w:szCs w:val="28"/>
        </w:rPr>
        <w:t xml:space="preserve"> домов. За период с 2014 года по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4B176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1769" w:rsidRPr="004B1769">
        <w:rPr>
          <w:rFonts w:ascii="Times New Roman" w:hAnsi="Times New Roman" w:cs="Times New Roman"/>
          <w:sz w:val="28"/>
          <w:szCs w:val="28"/>
        </w:rPr>
        <w:t>.20</w:t>
      </w:r>
      <w:r w:rsidR="001671D7">
        <w:rPr>
          <w:rFonts w:ascii="Times New Roman" w:hAnsi="Times New Roman" w:cs="Times New Roman"/>
          <w:sz w:val="28"/>
          <w:szCs w:val="28"/>
        </w:rPr>
        <w:t>20</w:t>
      </w:r>
      <w:r w:rsidR="004B1769" w:rsidRPr="004B1769">
        <w:rPr>
          <w:rFonts w:ascii="Times New Roman" w:hAnsi="Times New Roman" w:cs="Times New Roman"/>
          <w:sz w:val="28"/>
          <w:szCs w:val="28"/>
        </w:rPr>
        <w:t xml:space="preserve"> изменили способ формирования на специальный счет собственники </w:t>
      </w:r>
      <w:r w:rsidR="00122DF9">
        <w:rPr>
          <w:rFonts w:ascii="Times New Roman" w:hAnsi="Times New Roman" w:cs="Times New Roman"/>
          <w:sz w:val="28"/>
          <w:szCs w:val="28"/>
        </w:rPr>
        <w:t>1289</w:t>
      </w:r>
      <w:r w:rsidR="004B1769" w:rsidRPr="004B1769">
        <w:rPr>
          <w:rFonts w:ascii="Times New Roman" w:hAnsi="Times New Roman" w:cs="Times New Roman"/>
          <w:sz w:val="28"/>
          <w:szCs w:val="28"/>
        </w:rPr>
        <w:t xml:space="preserve"> дом</w:t>
      </w:r>
      <w:r w:rsidR="00122DF9">
        <w:rPr>
          <w:rFonts w:ascii="Times New Roman" w:hAnsi="Times New Roman" w:cs="Times New Roman"/>
          <w:sz w:val="28"/>
          <w:szCs w:val="28"/>
        </w:rPr>
        <w:t>ов</w:t>
      </w:r>
      <w:r w:rsidR="004B1769" w:rsidRPr="004B1769">
        <w:rPr>
          <w:rFonts w:ascii="Times New Roman" w:hAnsi="Times New Roman" w:cs="Times New Roman"/>
          <w:sz w:val="28"/>
          <w:szCs w:val="28"/>
        </w:rPr>
        <w:t>. Сумма средств, переведенных с общего счета на специальные счета з</w:t>
      </w:r>
      <w:r w:rsidR="005D238E">
        <w:rPr>
          <w:rFonts w:ascii="Times New Roman" w:hAnsi="Times New Roman" w:cs="Times New Roman"/>
          <w:sz w:val="28"/>
          <w:szCs w:val="28"/>
        </w:rPr>
        <w:t xml:space="preserve">а весь период, составила более </w:t>
      </w:r>
      <w:r w:rsidR="00BC78E1" w:rsidRPr="00BC78E1">
        <w:rPr>
          <w:rFonts w:ascii="Times New Roman" w:hAnsi="Times New Roman" w:cs="Times New Roman"/>
          <w:sz w:val="28"/>
          <w:szCs w:val="28"/>
        </w:rPr>
        <w:t>974</w:t>
      </w:r>
      <w:r w:rsidR="00BC78E1">
        <w:rPr>
          <w:rFonts w:ascii="Times New Roman" w:hAnsi="Times New Roman" w:cs="Times New Roman"/>
          <w:sz w:val="28"/>
          <w:szCs w:val="28"/>
        </w:rPr>
        <w:t>,</w:t>
      </w:r>
      <w:r w:rsidR="00BC78E1" w:rsidRPr="00BC78E1">
        <w:rPr>
          <w:rFonts w:ascii="Times New Roman" w:hAnsi="Times New Roman" w:cs="Times New Roman"/>
          <w:sz w:val="28"/>
          <w:szCs w:val="28"/>
        </w:rPr>
        <w:t xml:space="preserve"> </w:t>
      </w:r>
      <w:r w:rsidR="00BC78E1">
        <w:rPr>
          <w:rFonts w:ascii="Times New Roman" w:hAnsi="Times New Roman" w:cs="Times New Roman"/>
          <w:sz w:val="28"/>
          <w:szCs w:val="28"/>
        </w:rPr>
        <w:t>4</w:t>
      </w:r>
      <w:r w:rsidR="00BC78E1" w:rsidRPr="00BC78E1">
        <w:rPr>
          <w:rFonts w:ascii="Times New Roman" w:hAnsi="Times New Roman" w:cs="Times New Roman"/>
          <w:sz w:val="28"/>
          <w:szCs w:val="28"/>
        </w:rPr>
        <w:t>7</w:t>
      </w:r>
      <w:r w:rsidR="00BC78E1">
        <w:rPr>
          <w:rFonts w:ascii="Times New Roman" w:hAnsi="Times New Roman" w:cs="Times New Roman"/>
          <w:sz w:val="28"/>
          <w:szCs w:val="28"/>
        </w:rPr>
        <w:t>млн.</w:t>
      </w:r>
      <w:r w:rsidR="00BC78E1" w:rsidRPr="00BC78E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B1769" w:rsidRDefault="004B1769" w:rsidP="00363A44">
      <w:pPr>
        <w:pStyle w:val="aa"/>
        <w:spacing w:after="0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Ind w:w="-5" w:type="dxa"/>
        <w:tblLook w:val="04A0" w:firstRow="1" w:lastRow="0" w:firstColumn="1" w:lastColumn="0" w:noHBand="0" w:noVBand="1"/>
      </w:tblPr>
      <w:tblGrid>
        <w:gridCol w:w="639"/>
        <w:gridCol w:w="2630"/>
        <w:gridCol w:w="763"/>
        <w:gridCol w:w="874"/>
        <w:gridCol w:w="967"/>
        <w:gridCol w:w="967"/>
        <w:gridCol w:w="874"/>
        <w:gridCol w:w="864"/>
        <w:gridCol w:w="772"/>
      </w:tblGrid>
      <w:tr w:rsidR="001671D7" w:rsidRPr="00532453" w:rsidTr="001671D7">
        <w:tc>
          <w:tcPr>
            <w:tcW w:w="639" w:type="dxa"/>
          </w:tcPr>
          <w:p w:rsidR="001671D7" w:rsidRPr="00532453" w:rsidRDefault="001671D7" w:rsidP="004B176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30" w:type="dxa"/>
          </w:tcPr>
          <w:p w:rsidR="001671D7" w:rsidRPr="00532453" w:rsidRDefault="001671D7" w:rsidP="004B176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b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763" w:type="dxa"/>
          </w:tcPr>
          <w:p w:rsidR="001671D7" w:rsidRPr="00532453" w:rsidRDefault="001671D7" w:rsidP="004B176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1D7" w:rsidRPr="00532453" w:rsidRDefault="001671D7" w:rsidP="004B176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874" w:type="dxa"/>
          </w:tcPr>
          <w:p w:rsidR="001671D7" w:rsidRPr="00532453" w:rsidRDefault="001671D7" w:rsidP="004B176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1D7" w:rsidRPr="00532453" w:rsidRDefault="001671D7" w:rsidP="004B176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967" w:type="dxa"/>
          </w:tcPr>
          <w:p w:rsidR="001671D7" w:rsidRPr="00532453" w:rsidRDefault="001671D7" w:rsidP="004B176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1D7" w:rsidRPr="00532453" w:rsidRDefault="001671D7" w:rsidP="004B176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967" w:type="dxa"/>
          </w:tcPr>
          <w:p w:rsidR="001671D7" w:rsidRPr="00532453" w:rsidRDefault="001671D7" w:rsidP="004B176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1D7" w:rsidRPr="00532453" w:rsidRDefault="001671D7" w:rsidP="004B176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74" w:type="dxa"/>
          </w:tcPr>
          <w:p w:rsidR="001671D7" w:rsidRPr="00532453" w:rsidRDefault="001671D7" w:rsidP="004B176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1D7" w:rsidRPr="00532453" w:rsidRDefault="001671D7" w:rsidP="004B176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864" w:type="dxa"/>
          </w:tcPr>
          <w:p w:rsidR="001671D7" w:rsidRPr="00532453" w:rsidRDefault="001671D7" w:rsidP="004B176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1D7" w:rsidRPr="00532453" w:rsidRDefault="001671D7" w:rsidP="000010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772" w:type="dxa"/>
          </w:tcPr>
          <w:p w:rsidR="001671D7" w:rsidRDefault="001671D7" w:rsidP="004B176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1D7" w:rsidRPr="00532453" w:rsidRDefault="001671D7" w:rsidP="004B176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</w:tr>
      <w:tr w:rsidR="00122DF9" w:rsidRPr="00532453" w:rsidTr="00BE14ED">
        <w:tc>
          <w:tcPr>
            <w:tcW w:w="639" w:type="dxa"/>
          </w:tcPr>
          <w:p w:rsidR="00122DF9" w:rsidRPr="00532453" w:rsidRDefault="00122DF9" w:rsidP="00122D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0" w:type="dxa"/>
          </w:tcPr>
          <w:p w:rsidR="00122DF9" w:rsidRPr="00532453" w:rsidRDefault="00122DF9" w:rsidP="00122D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Общий счет</w:t>
            </w:r>
          </w:p>
        </w:tc>
        <w:tc>
          <w:tcPr>
            <w:tcW w:w="763" w:type="dxa"/>
          </w:tcPr>
          <w:p w:rsidR="00122DF9" w:rsidRPr="00532453" w:rsidRDefault="00122DF9" w:rsidP="00122D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9554</w:t>
            </w:r>
          </w:p>
        </w:tc>
        <w:tc>
          <w:tcPr>
            <w:tcW w:w="874" w:type="dxa"/>
          </w:tcPr>
          <w:p w:rsidR="00122DF9" w:rsidRPr="00532453" w:rsidRDefault="00122DF9" w:rsidP="00122D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8932</w:t>
            </w:r>
          </w:p>
        </w:tc>
        <w:tc>
          <w:tcPr>
            <w:tcW w:w="967" w:type="dxa"/>
          </w:tcPr>
          <w:p w:rsidR="00122DF9" w:rsidRPr="00532453" w:rsidRDefault="00122DF9" w:rsidP="00122D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8698</w:t>
            </w:r>
          </w:p>
        </w:tc>
        <w:tc>
          <w:tcPr>
            <w:tcW w:w="967" w:type="dxa"/>
          </w:tcPr>
          <w:p w:rsidR="00122DF9" w:rsidRPr="00532453" w:rsidRDefault="00122DF9" w:rsidP="00122D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8415</w:t>
            </w:r>
          </w:p>
        </w:tc>
        <w:tc>
          <w:tcPr>
            <w:tcW w:w="874" w:type="dxa"/>
          </w:tcPr>
          <w:p w:rsidR="00122DF9" w:rsidRPr="00532453" w:rsidRDefault="00122DF9" w:rsidP="00122D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8021</w:t>
            </w:r>
          </w:p>
        </w:tc>
        <w:tc>
          <w:tcPr>
            <w:tcW w:w="864" w:type="dxa"/>
          </w:tcPr>
          <w:p w:rsidR="00122DF9" w:rsidRPr="00532453" w:rsidRDefault="00122DF9" w:rsidP="00122D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6819</w:t>
            </w:r>
          </w:p>
        </w:tc>
        <w:tc>
          <w:tcPr>
            <w:tcW w:w="772" w:type="dxa"/>
            <w:vAlign w:val="center"/>
          </w:tcPr>
          <w:p w:rsidR="00122DF9" w:rsidRPr="00122DF9" w:rsidRDefault="00BC78E1" w:rsidP="00122D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6620</w:t>
            </w:r>
          </w:p>
        </w:tc>
      </w:tr>
      <w:tr w:rsidR="00122DF9" w:rsidRPr="00532453" w:rsidTr="00BE14ED">
        <w:tc>
          <w:tcPr>
            <w:tcW w:w="639" w:type="dxa"/>
          </w:tcPr>
          <w:p w:rsidR="00122DF9" w:rsidRPr="00532453" w:rsidRDefault="00122DF9" w:rsidP="00122D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0" w:type="dxa"/>
          </w:tcPr>
          <w:p w:rsidR="00122DF9" w:rsidRPr="00532453" w:rsidRDefault="00122DF9" w:rsidP="00122D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Специальный счет РО</w:t>
            </w:r>
          </w:p>
        </w:tc>
        <w:tc>
          <w:tcPr>
            <w:tcW w:w="763" w:type="dxa"/>
          </w:tcPr>
          <w:p w:rsidR="00122DF9" w:rsidRPr="00532453" w:rsidRDefault="00122DF9" w:rsidP="00122D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874" w:type="dxa"/>
          </w:tcPr>
          <w:p w:rsidR="00122DF9" w:rsidRPr="00532453" w:rsidRDefault="00122DF9" w:rsidP="00122D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967" w:type="dxa"/>
          </w:tcPr>
          <w:p w:rsidR="00122DF9" w:rsidRPr="00532453" w:rsidRDefault="00122DF9" w:rsidP="00122D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967" w:type="dxa"/>
          </w:tcPr>
          <w:p w:rsidR="00122DF9" w:rsidRPr="00532453" w:rsidRDefault="00122DF9" w:rsidP="00122D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874" w:type="dxa"/>
          </w:tcPr>
          <w:p w:rsidR="00122DF9" w:rsidRPr="00532453" w:rsidRDefault="00122DF9" w:rsidP="00122D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864" w:type="dxa"/>
          </w:tcPr>
          <w:p w:rsidR="00122DF9" w:rsidRPr="00532453" w:rsidRDefault="00122DF9" w:rsidP="00122D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772" w:type="dxa"/>
            <w:vAlign w:val="center"/>
          </w:tcPr>
          <w:p w:rsidR="00122DF9" w:rsidRPr="00122DF9" w:rsidRDefault="00BC78E1" w:rsidP="00122D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</w:t>
            </w:r>
          </w:p>
        </w:tc>
      </w:tr>
      <w:tr w:rsidR="00122DF9" w:rsidRPr="00532453" w:rsidTr="00BE14ED">
        <w:tc>
          <w:tcPr>
            <w:tcW w:w="639" w:type="dxa"/>
          </w:tcPr>
          <w:p w:rsidR="00122DF9" w:rsidRPr="00532453" w:rsidRDefault="00122DF9" w:rsidP="00122D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0" w:type="dxa"/>
          </w:tcPr>
          <w:p w:rsidR="00122DF9" w:rsidRPr="00532453" w:rsidRDefault="00122DF9" w:rsidP="00122D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Специальный счет ТСЖ</w:t>
            </w:r>
          </w:p>
        </w:tc>
        <w:tc>
          <w:tcPr>
            <w:tcW w:w="763" w:type="dxa"/>
          </w:tcPr>
          <w:p w:rsidR="00122DF9" w:rsidRPr="00532453" w:rsidRDefault="00122DF9" w:rsidP="00122D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874" w:type="dxa"/>
          </w:tcPr>
          <w:p w:rsidR="00122DF9" w:rsidRPr="00532453" w:rsidRDefault="00122DF9" w:rsidP="00122D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967" w:type="dxa"/>
          </w:tcPr>
          <w:p w:rsidR="00122DF9" w:rsidRPr="00532453" w:rsidRDefault="00122DF9" w:rsidP="00122D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967" w:type="dxa"/>
          </w:tcPr>
          <w:p w:rsidR="00122DF9" w:rsidRPr="00532453" w:rsidRDefault="00122DF9" w:rsidP="00122D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74" w:type="dxa"/>
          </w:tcPr>
          <w:p w:rsidR="00122DF9" w:rsidRPr="00532453" w:rsidRDefault="00122DF9" w:rsidP="00122D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64" w:type="dxa"/>
          </w:tcPr>
          <w:p w:rsidR="00122DF9" w:rsidRPr="00532453" w:rsidRDefault="00122DF9" w:rsidP="00122D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72" w:type="dxa"/>
            <w:vAlign w:val="center"/>
          </w:tcPr>
          <w:p w:rsidR="00122DF9" w:rsidRPr="00122DF9" w:rsidRDefault="00BC78E1" w:rsidP="00122D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</w:tr>
      <w:tr w:rsidR="00122DF9" w:rsidRPr="00532453" w:rsidTr="00BE14ED">
        <w:tc>
          <w:tcPr>
            <w:tcW w:w="639" w:type="dxa"/>
          </w:tcPr>
          <w:p w:rsidR="00122DF9" w:rsidRPr="00532453" w:rsidRDefault="00122DF9" w:rsidP="00122D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0" w:type="dxa"/>
          </w:tcPr>
          <w:p w:rsidR="00122DF9" w:rsidRPr="00532453" w:rsidRDefault="00122DF9" w:rsidP="00122D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Специальный счет УК</w:t>
            </w:r>
          </w:p>
        </w:tc>
        <w:tc>
          <w:tcPr>
            <w:tcW w:w="763" w:type="dxa"/>
          </w:tcPr>
          <w:p w:rsidR="00122DF9" w:rsidRPr="00532453" w:rsidRDefault="00122DF9" w:rsidP="00122D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122DF9" w:rsidRPr="00532453" w:rsidRDefault="00122DF9" w:rsidP="00122D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967" w:type="dxa"/>
          </w:tcPr>
          <w:p w:rsidR="00122DF9" w:rsidRPr="00532453" w:rsidRDefault="00122DF9" w:rsidP="00122D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967" w:type="dxa"/>
          </w:tcPr>
          <w:p w:rsidR="00122DF9" w:rsidRPr="00532453" w:rsidRDefault="00122DF9" w:rsidP="00122D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874" w:type="dxa"/>
          </w:tcPr>
          <w:p w:rsidR="00122DF9" w:rsidRPr="00532453" w:rsidRDefault="00122DF9" w:rsidP="00122D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864" w:type="dxa"/>
          </w:tcPr>
          <w:p w:rsidR="00122DF9" w:rsidRPr="00532453" w:rsidRDefault="00122DF9" w:rsidP="00122D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772" w:type="dxa"/>
            <w:vAlign w:val="center"/>
          </w:tcPr>
          <w:p w:rsidR="00122DF9" w:rsidRPr="00122DF9" w:rsidRDefault="00BC78E1" w:rsidP="00122D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1114</w:t>
            </w:r>
          </w:p>
        </w:tc>
      </w:tr>
      <w:tr w:rsidR="00122DF9" w:rsidRPr="00532453" w:rsidTr="00BE14ED">
        <w:tc>
          <w:tcPr>
            <w:tcW w:w="639" w:type="dxa"/>
          </w:tcPr>
          <w:p w:rsidR="00122DF9" w:rsidRPr="00532453" w:rsidRDefault="00122DF9" w:rsidP="00122D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0" w:type="dxa"/>
          </w:tcPr>
          <w:p w:rsidR="00122DF9" w:rsidRPr="00532453" w:rsidRDefault="00122DF9" w:rsidP="00122D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763" w:type="dxa"/>
          </w:tcPr>
          <w:p w:rsidR="00122DF9" w:rsidRPr="00532453" w:rsidRDefault="00122DF9" w:rsidP="00122D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74" w:type="dxa"/>
          </w:tcPr>
          <w:p w:rsidR="00122DF9" w:rsidRPr="00532453" w:rsidRDefault="00122DF9" w:rsidP="00122D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67" w:type="dxa"/>
          </w:tcPr>
          <w:p w:rsidR="00122DF9" w:rsidRPr="00532453" w:rsidRDefault="00122DF9" w:rsidP="00122D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67" w:type="dxa"/>
          </w:tcPr>
          <w:p w:rsidR="00122DF9" w:rsidRPr="00532453" w:rsidRDefault="00122DF9" w:rsidP="00122D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874" w:type="dxa"/>
          </w:tcPr>
          <w:p w:rsidR="00122DF9" w:rsidRPr="00532453" w:rsidRDefault="00122DF9" w:rsidP="00122D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864" w:type="dxa"/>
          </w:tcPr>
          <w:p w:rsidR="00122DF9" w:rsidRPr="00532453" w:rsidRDefault="00122DF9" w:rsidP="00122D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772" w:type="dxa"/>
            <w:vAlign w:val="center"/>
          </w:tcPr>
          <w:p w:rsidR="00122DF9" w:rsidRPr="00122DF9" w:rsidRDefault="00BC78E1" w:rsidP="00122D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122DF9" w:rsidRPr="00532453" w:rsidTr="00BE14ED">
        <w:tc>
          <w:tcPr>
            <w:tcW w:w="639" w:type="dxa"/>
          </w:tcPr>
          <w:p w:rsidR="00122DF9" w:rsidRPr="00532453" w:rsidRDefault="00122DF9" w:rsidP="00122D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122DF9" w:rsidRPr="00532453" w:rsidRDefault="00122DF9" w:rsidP="00122DF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b/>
                <w:sz w:val="20"/>
                <w:szCs w:val="20"/>
              </w:rPr>
              <w:t>ИТОГО МКД</w:t>
            </w:r>
          </w:p>
        </w:tc>
        <w:tc>
          <w:tcPr>
            <w:tcW w:w="763" w:type="dxa"/>
          </w:tcPr>
          <w:p w:rsidR="00122DF9" w:rsidRPr="00532453" w:rsidRDefault="00122DF9" w:rsidP="00122DF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b/>
                <w:sz w:val="20"/>
                <w:szCs w:val="20"/>
              </w:rPr>
              <w:t>11234</w:t>
            </w:r>
          </w:p>
        </w:tc>
        <w:tc>
          <w:tcPr>
            <w:tcW w:w="874" w:type="dxa"/>
          </w:tcPr>
          <w:p w:rsidR="00122DF9" w:rsidRPr="00532453" w:rsidRDefault="00122DF9" w:rsidP="00122DF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b/>
                <w:sz w:val="20"/>
                <w:szCs w:val="20"/>
              </w:rPr>
              <w:t>11 039</w:t>
            </w:r>
          </w:p>
        </w:tc>
        <w:tc>
          <w:tcPr>
            <w:tcW w:w="967" w:type="dxa"/>
          </w:tcPr>
          <w:p w:rsidR="00122DF9" w:rsidRPr="00532453" w:rsidRDefault="00122DF9" w:rsidP="00122DF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b/>
                <w:sz w:val="20"/>
                <w:szCs w:val="20"/>
              </w:rPr>
              <w:t>10876</w:t>
            </w:r>
          </w:p>
        </w:tc>
        <w:tc>
          <w:tcPr>
            <w:tcW w:w="967" w:type="dxa"/>
          </w:tcPr>
          <w:p w:rsidR="00122DF9" w:rsidRPr="00532453" w:rsidRDefault="00122DF9" w:rsidP="00122DF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b/>
                <w:sz w:val="20"/>
                <w:szCs w:val="20"/>
              </w:rPr>
              <w:t>10817</w:t>
            </w:r>
          </w:p>
        </w:tc>
        <w:tc>
          <w:tcPr>
            <w:tcW w:w="874" w:type="dxa"/>
          </w:tcPr>
          <w:p w:rsidR="00122DF9" w:rsidRPr="00532453" w:rsidRDefault="00122DF9" w:rsidP="00122DF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b/>
                <w:sz w:val="20"/>
                <w:szCs w:val="20"/>
              </w:rPr>
              <w:t>10 655</w:t>
            </w:r>
          </w:p>
        </w:tc>
        <w:tc>
          <w:tcPr>
            <w:tcW w:w="864" w:type="dxa"/>
          </w:tcPr>
          <w:p w:rsidR="00122DF9" w:rsidRPr="00532453" w:rsidRDefault="00122DF9" w:rsidP="00122DF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453">
              <w:rPr>
                <w:rFonts w:ascii="Times New Roman" w:hAnsi="Times New Roman" w:cs="Times New Roman"/>
                <w:b/>
                <w:sz w:val="20"/>
                <w:szCs w:val="20"/>
              </w:rPr>
              <w:t>9841</w:t>
            </w:r>
          </w:p>
        </w:tc>
        <w:tc>
          <w:tcPr>
            <w:tcW w:w="772" w:type="dxa"/>
            <w:vAlign w:val="center"/>
          </w:tcPr>
          <w:p w:rsidR="00122DF9" w:rsidRPr="00122DF9" w:rsidRDefault="00BC78E1" w:rsidP="00122D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9742</w:t>
            </w:r>
          </w:p>
        </w:tc>
      </w:tr>
      <w:tr w:rsidR="001671D7" w:rsidRPr="00532453" w:rsidTr="001671D7">
        <w:tc>
          <w:tcPr>
            <w:tcW w:w="639" w:type="dxa"/>
          </w:tcPr>
          <w:p w:rsidR="001671D7" w:rsidRPr="00532453" w:rsidRDefault="001671D7" w:rsidP="004B176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1671D7" w:rsidRPr="00532453" w:rsidRDefault="001671D7" w:rsidP="002D55C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Дома, сменившие способ с общего счета на специальные счета</w:t>
            </w:r>
          </w:p>
        </w:tc>
        <w:tc>
          <w:tcPr>
            <w:tcW w:w="763" w:type="dxa"/>
          </w:tcPr>
          <w:p w:rsidR="001671D7" w:rsidRPr="00532453" w:rsidRDefault="001671D7" w:rsidP="004B176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</w:tcPr>
          <w:p w:rsidR="001671D7" w:rsidRPr="00532453" w:rsidRDefault="001671D7" w:rsidP="004B176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512</w:t>
            </w:r>
          </w:p>
        </w:tc>
        <w:tc>
          <w:tcPr>
            <w:tcW w:w="967" w:type="dxa"/>
          </w:tcPr>
          <w:p w:rsidR="001671D7" w:rsidRPr="00532453" w:rsidRDefault="001671D7" w:rsidP="004B176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967" w:type="dxa"/>
          </w:tcPr>
          <w:p w:rsidR="001671D7" w:rsidRPr="00532453" w:rsidRDefault="001671D7" w:rsidP="004B176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874" w:type="dxa"/>
          </w:tcPr>
          <w:p w:rsidR="001671D7" w:rsidRPr="00532453" w:rsidRDefault="001671D7" w:rsidP="004B176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</w:t>
            </w:r>
          </w:p>
        </w:tc>
        <w:tc>
          <w:tcPr>
            <w:tcW w:w="864" w:type="dxa"/>
          </w:tcPr>
          <w:p w:rsidR="001671D7" w:rsidRPr="00532453" w:rsidRDefault="001671D7" w:rsidP="004B176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772" w:type="dxa"/>
          </w:tcPr>
          <w:p w:rsidR="001671D7" w:rsidRPr="00122DF9" w:rsidRDefault="00122DF9" w:rsidP="004B176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F9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</w:tr>
    </w:tbl>
    <w:p w:rsidR="00C27B19" w:rsidRDefault="00C27B19" w:rsidP="00E36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1769" w:rsidRPr="00D405C5" w:rsidRDefault="004B1769" w:rsidP="004B1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C5">
        <w:rPr>
          <w:rFonts w:ascii="Times New Roman" w:hAnsi="Times New Roman" w:cs="Times New Roman"/>
          <w:sz w:val="28"/>
          <w:szCs w:val="28"/>
        </w:rPr>
        <w:t xml:space="preserve">По площадям многоквартирных домов в разрезе способов формирования фондов капитального ремонта по области ситуация выглядит </w:t>
      </w:r>
      <w:r w:rsidRPr="00D405C5">
        <w:rPr>
          <w:rFonts w:ascii="Times New Roman" w:hAnsi="Times New Roman" w:cs="Times New Roman"/>
          <w:sz w:val="28"/>
          <w:szCs w:val="28"/>
        </w:rPr>
        <w:lastRenderedPageBreak/>
        <w:t xml:space="preserve">так: на общем счете остается </w:t>
      </w:r>
      <w:r w:rsidR="00122DF9">
        <w:rPr>
          <w:rFonts w:ascii="Times New Roman" w:hAnsi="Times New Roman" w:cs="Times New Roman"/>
          <w:sz w:val="28"/>
          <w:szCs w:val="28"/>
        </w:rPr>
        <w:t>42,2</w:t>
      </w:r>
      <w:r w:rsidRPr="00D405C5">
        <w:rPr>
          <w:rFonts w:ascii="Times New Roman" w:hAnsi="Times New Roman" w:cs="Times New Roman"/>
          <w:sz w:val="28"/>
          <w:szCs w:val="28"/>
        </w:rPr>
        <w:t xml:space="preserve"> %</w:t>
      </w:r>
      <w:r w:rsidR="00E54405" w:rsidRPr="00D405C5">
        <w:rPr>
          <w:rFonts w:ascii="Times New Roman" w:hAnsi="Times New Roman" w:cs="Times New Roman"/>
          <w:sz w:val="28"/>
          <w:szCs w:val="28"/>
        </w:rPr>
        <w:t xml:space="preserve"> или </w:t>
      </w:r>
      <w:r w:rsidR="00122DF9">
        <w:rPr>
          <w:rFonts w:ascii="Times New Roman" w:hAnsi="Times New Roman" w:cs="Times New Roman"/>
          <w:sz w:val="28"/>
          <w:szCs w:val="28"/>
        </w:rPr>
        <w:t>9 260,47</w:t>
      </w:r>
      <w:r w:rsidR="00E54405" w:rsidRPr="00D405C5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E54405" w:rsidRPr="00D405C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54405" w:rsidRPr="00D405C5">
        <w:rPr>
          <w:rFonts w:ascii="Times New Roman" w:hAnsi="Times New Roman" w:cs="Times New Roman"/>
          <w:sz w:val="28"/>
          <w:szCs w:val="28"/>
        </w:rPr>
        <w:t>.</w:t>
      </w:r>
      <w:r w:rsidRPr="00D405C5">
        <w:rPr>
          <w:rFonts w:ascii="Times New Roman" w:hAnsi="Times New Roman" w:cs="Times New Roman"/>
          <w:sz w:val="28"/>
          <w:szCs w:val="28"/>
        </w:rPr>
        <w:t>, на специальных счетах</w:t>
      </w:r>
      <w:r w:rsidR="00E54405" w:rsidRPr="00D405C5">
        <w:rPr>
          <w:rFonts w:ascii="Times New Roman" w:hAnsi="Times New Roman" w:cs="Times New Roman"/>
          <w:sz w:val="28"/>
          <w:szCs w:val="28"/>
        </w:rPr>
        <w:t xml:space="preserve"> </w:t>
      </w:r>
      <w:r w:rsidR="00122DF9">
        <w:rPr>
          <w:rFonts w:ascii="Times New Roman" w:hAnsi="Times New Roman" w:cs="Times New Roman"/>
          <w:sz w:val="28"/>
          <w:szCs w:val="28"/>
        </w:rPr>
        <w:t>50,25</w:t>
      </w:r>
      <w:r w:rsidR="00E54405" w:rsidRPr="00D405C5">
        <w:rPr>
          <w:rFonts w:ascii="Times New Roman" w:hAnsi="Times New Roman" w:cs="Times New Roman"/>
          <w:sz w:val="28"/>
          <w:szCs w:val="28"/>
        </w:rPr>
        <w:t>% (</w:t>
      </w:r>
      <w:r w:rsidR="00122DF9">
        <w:rPr>
          <w:rFonts w:ascii="Times New Roman" w:hAnsi="Times New Roman" w:cs="Times New Roman"/>
          <w:sz w:val="28"/>
          <w:szCs w:val="28"/>
        </w:rPr>
        <w:t>11 026,85</w:t>
      </w:r>
      <w:r w:rsidR="00E54405" w:rsidRPr="00D405C5">
        <w:rPr>
          <w:rFonts w:ascii="Times New Roman" w:hAnsi="Times New Roman" w:cs="Times New Roman"/>
          <w:sz w:val="28"/>
          <w:szCs w:val="28"/>
        </w:rPr>
        <w:t xml:space="preserve"> тыс. кв. м)</w:t>
      </w:r>
      <w:r w:rsidRPr="00D405C5">
        <w:rPr>
          <w:rFonts w:ascii="Times New Roman" w:hAnsi="Times New Roman" w:cs="Times New Roman"/>
          <w:sz w:val="28"/>
          <w:szCs w:val="28"/>
        </w:rPr>
        <w:t>.</w:t>
      </w:r>
    </w:p>
    <w:p w:rsidR="004B1769" w:rsidRPr="004B1769" w:rsidRDefault="004B1769" w:rsidP="004B1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C5">
        <w:rPr>
          <w:rFonts w:ascii="Times New Roman" w:hAnsi="Times New Roman" w:cs="Times New Roman"/>
          <w:sz w:val="28"/>
          <w:szCs w:val="28"/>
        </w:rPr>
        <w:t>Самое активное движение по смене владельца счета с регионального оператора на ТСЖ или УК наблюдается по городам Вологде и Череповцу.</w:t>
      </w:r>
      <w:r w:rsidRPr="004B1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8A4" w:rsidRDefault="009138A4" w:rsidP="00E36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4B1" w:rsidRPr="000967F8" w:rsidRDefault="00F373DC" w:rsidP="00DA1158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7F8">
        <w:rPr>
          <w:rFonts w:ascii="Times New Roman" w:hAnsi="Times New Roman" w:cs="Times New Roman"/>
          <w:b/>
          <w:sz w:val="28"/>
          <w:szCs w:val="28"/>
        </w:rPr>
        <w:t>Собираемость взносов на капитальный ремонт</w:t>
      </w:r>
      <w:r w:rsidR="003045D2" w:rsidRPr="000967F8">
        <w:rPr>
          <w:rFonts w:ascii="Times New Roman" w:hAnsi="Times New Roman" w:cs="Times New Roman"/>
          <w:b/>
          <w:sz w:val="28"/>
          <w:szCs w:val="28"/>
        </w:rPr>
        <w:t>.</w:t>
      </w:r>
    </w:p>
    <w:p w:rsidR="002B0D1E" w:rsidRPr="000967F8" w:rsidRDefault="002B0D1E" w:rsidP="002B0D1E">
      <w:pPr>
        <w:pStyle w:val="aa"/>
        <w:spacing w:after="0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204" w:rsidRPr="00926D5B" w:rsidRDefault="0097216E" w:rsidP="00926D5B">
      <w:pPr>
        <w:pStyle w:val="aa"/>
        <w:numPr>
          <w:ilvl w:val="1"/>
          <w:numId w:val="13"/>
        </w:numPr>
        <w:spacing w:after="0"/>
        <w:ind w:left="2835" w:hanging="1854"/>
        <w:jc w:val="both"/>
        <w:rPr>
          <w:rFonts w:ascii="Times New Roman" w:hAnsi="Times New Roman" w:cs="Times New Roman"/>
          <w:sz w:val="28"/>
          <w:szCs w:val="28"/>
        </w:rPr>
      </w:pPr>
      <w:r w:rsidRPr="00926D5B">
        <w:rPr>
          <w:rFonts w:ascii="Times New Roman" w:hAnsi="Times New Roman" w:cs="Times New Roman"/>
          <w:b/>
          <w:sz w:val="28"/>
          <w:szCs w:val="28"/>
        </w:rPr>
        <w:t>Общая собираемость</w:t>
      </w:r>
      <w:r w:rsidRPr="00926D5B">
        <w:rPr>
          <w:rFonts w:ascii="Times New Roman" w:hAnsi="Times New Roman" w:cs="Times New Roman"/>
          <w:sz w:val="28"/>
          <w:szCs w:val="28"/>
        </w:rPr>
        <w:t>.</w:t>
      </w:r>
    </w:p>
    <w:p w:rsidR="00B307DB" w:rsidRPr="00B307DB" w:rsidRDefault="0086748F" w:rsidP="00B307DB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9898958"/>
      <w:r w:rsidRPr="006F38FF">
        <w:rPr>
          <w:rFonts w:ascii="Times New Roman" w:hAnsi="Times New Roman" w:cs="Times New Roman"/>
          <w:sz w:val="28"/>
          <w:szCs w:val="28"/>
        </w:rPr>
        <w:t xml:space="preserve">Общая собираемость взносов на капитальный ремонт МКД, формирующих фонд капитального ремонта на общем счете с начала реализации региональной программы по </w:t>
      </w:r>
      <w:r w:rsidRPr="00497E6B">
        <w:rPr>
          <w:rFonts w:ascii="Times New Roman" w:hAnsi="Times New Roman" w:cs="Times New Roman"/>
          <w:sz w:val="28"/>
          <w:szCs w:val="28"/>
        </w:rPr>
        <w:t xml:space="preserve">капитальному ремонту </w:t>
      </w:r>
      <w:r w:rsidR="00B307DB" w:rsidRPr="00B307DB">
        <w:rPr>
          <w:rFonts w:ascii="Times New Roman" w:hAnsi="Times New Roman" w:cs="Times New Roman"/>
          <w:sz w:val="28"/>
          <w:szCs w:val="28"/>
        </w:rPr>
        <w:t>по 31.12.2020 г., составила 92,81 %.</w:t>
      </w:r>
    </w:p>
    <w:p w:rsidR="00B307DB" w:rsidRDefault="00B307DB" w:rsidP="00B307DB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DB">
        <w:rPr>
          <w:rFonts w:ascii="Times New Roman" w:hAnsi="Times New Roman" w:cs="Times New Roman"/>
          <w:sz w:val="28"/>
          <w:szCs w:val="28"/>
        </w:rPr>
        <w:t>Общая собираемость на 31.12.2020 год по области составила 111,20 %.</w:t>
      </w:r>
      <w:r w:rsidRPr="007D4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06C" w:rsidRDefault="003C306C" w:rsidP="00B307DB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EB9" w:rsidRDefault="003C306C" w:rsidP="0069004A">
      <w:pPr>
        <w:pStyle w:val="aa"/>
        <w:spacing w:after="0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D8B329" wp14:editId="6A5E0428">
            <wp:extent cx="5353050" cy="36195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A1EB9" w:rsidRDefault="007A1EB9" w:rsidP="0069004A">
      <w:pPr>
        <w:pStyle w:val="aa"/>
        <w:spacing w:after="0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7A1EB9" w:rsidRDefault="00926D5B" w:rsidP="005E6B2B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5E6B2B">
        <w:rPr>
          <w:rFonts w:ascii="Times New Roman" w:hAnsi="Times New Roman" w:cs="Times New Roman"/>
          <w:sz w:val="28"/>
          <w:szCs w:val="28"/>
        </w:rPr>
        <w:t xml:space="preserve"> год собираемость взносов на капитальный ремонт выросла на </w:t>
      </w:r>
      <w:r w:rsidR="00B307DB">
        <w:rPr>
          <w:rFonts w:ascii="Times New Roman" w:hAnsi="Times New Roman" w:cs="Times New Roman"/>
          <w:sz w:val="28"/>
          <w:szCs w:val="28"/>
        </w:rPr>
        <w:t>3,06</w:t>
      </w:r>
      <w:r w:rsidR="005E6B2B">
        <w:rPr>
          <w:rFonts w:ascii="Times New Roman" w:hAnsi="Times New Roman" w:cs="Times New Roman"/>
          <w:sz w:val="28"/>
          <w:szCs w:val="28"/>
        </w:rPr>
        <w:t>%.</w:t>
      </w:r>
    </w:p>
    <w:p w:rsidR="007A1EB9" w:rsidRPr="0069004A" w:rsidRDefault="007A1EB9" w:rsidP="00FF4C9A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EB7F31" wp14:editId="7C7B3E75">
            <wp:extent cx="5972175" cy="26765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B20CB" w:rsidRPr="000967F8" w:rsidRDefault="00DD06EA" w:rsidP="006F38FF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рассматривать собираемость нар</w:t>
      </w:r>
      <w:r w:rsidR="00926D5B">
        <w:rPr>
          <w:rFonts w:ascii="Times New Roman" w:hAnsi="Times New Roman" w:cs="Times New Roman"/>
          <w:sz w:val="28"/>
          <w:szCs w:val="28"/>
        </w:rPr>
        <w:t>астающим итогом, то по итогу 2020</w:t>
      </w:r>
      <w:r>
        <w:rPr>
          <w:rFonts w:ascii="Times New Roman" w:hAnsi="Times New Roman" w:cs="Times New Roman"/>
          <w:sz w:val="28"/>
          <w:szCs w:val="28"/>
        </w:rPr>
        <w:t xml:space="preserve"> года она выросла на </w:t>
      </w:r>
      <w:r w:rsidR="00B307DB">
        <w:rPr>
          <w:rFonts w:ascii="Times New Roman" w:hAnsi="Times New Roman" w:cs="Times New Roman"/>
          <w:sz w:val="28"/>
          <w:szCs w:val="28"/>
        </w:rPr>
        <w:t>0,47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40FB7" w:rsidRPr="00940FB7" w:rsidRDefault="00940FB7" w:rsidP="003C306C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B7">
        <w:rPr>
          <w:rFonts w:ascii="Times New Roman" w:hAnsi="Times New Roman" w:cs="Times New Roman"/>
          <w:sz w:val="28"/>
          <w:szCs w:val="28"/>
        </w:rPr>
        <w:t>В 2020 году лиде</w:t>
      </w:r>
      <w:r w:rsidR="006B72F4">
        <w:rPr>
          <w:rFonts w:ascii="Times New Roman" w:hAnsi="Times New Roman" w:cs="Times New Roman"/>
          <w:sz w:val="28"/>
          <w:szCs w:val="28"/>
        </w:rPr>
        <w:t>рами по общей собираемости на 31</w:t>
      </w:r>
      <w:r w:rsidRPr="00940FB7">
        <w:rPr>
          <w:rFonts w:ascii="Times New Roman" w:hAnsi="Times New Roman" w:cs="Times New Roman"/>
          <w:sz w:val="28"/>
          <w:szCs w:val="28"/>
        </w:rPr>
        <w:t>.12.2020 года являются следующие районы: Бабаевский р-н, Великоустюгский р-н, Вашкинский р-н, Сокольский р-н, Верховажский р-н, Череповецкий р-н, Чагодощенский р-н, Харовский р-н, Усть-Кубинский р-н, Никольский р-н, Кадуйский р-н, Череповец г, Вологда г, Тарногский р-н, Междуреченский р-н, Грязовецкий р-н, Сямженский р-н, Вожегодский р-н, Белозерский р-н, Вологодский р-н, Бабушкинский р-н, Нюксенский р-н, Тотемский р-н в указанных районах общая собираемость выше 100%.</w:t>
      </w:r>
    </w:p>
    <w:p w:rsidR="00B62A94" w:rsidRDefault="00940FB7" w:rsidP="00940FB7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B7">
        <w:rPr>
          <w:rFonts w:ascii="Times New Roman" w:hAnsi="Times New Roman" w:cs="Times New Roman"/>
          <w:sz w:val="28"/>
          <w:szCs w:val="28"/>
        </w:rPr>
        <w:t>В отста</w:t>
      </w:r>
      <w:r w:rsidR="006B72F4">
        <w:rPr>
          <w:rFonts w:ascii="Times New Roman" w:hAnsi="Times New Roman" w:cs="Times New Roman"/>
          <w:sz w:val="28"/>
          <w:szCs w:val="28"/>
        </w:rPr>
        <w:t>ющих по общей собираемости на 31</w:t>
      </w:r>
      <w:r w:rsidRPr="00940FB7">
        <w:rPr>
          <w:rFonts w:ascii="Times New Roman" w:hAnsi="Times New Roman" w:cs="Times New Roman"/>
          <w:sz w:val="28"/>
          <w:szCs w:val="28"/>
        </w:rPr>
        <w:t xml:space="preserve">.12.2020 года являются: Вытегорский район с собираемостью </w:t>
      </w:r>
      <w:r w:rsidR="00376C84">
        <w:rPr>
          <w:rFonts w:ascii="Times New Roman" w:hAnsi="Times New Roman" w:cs="Times New Roman"/>
          <w:sz w:val="28"/>
          <w:szCs w:val="28"/>
        </w:rPr>
        <w:t>93,91</w:t>
      </w:r>
      <w:r w:rsidRPr="00940FB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40FB7" w:rsidRPr="000967F8" w:rsidRDefault="00940FB7" w:rsidP="00940FB7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7216E" w:rsidRPr="00926D5B" w:rsidRDefault="00D470C1" w:rsidP="00940FB7">
      <w:pPr>
        <w:pStyle w:val="aa"/>
        <w:numPr>
          <w:ilvl w:val="1"/>
          <w:numId w:val="13"/>
        </w:numPr>
        <w:spacing w:after="0"/>
        <w:ind w:hanging="5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16E" w:rsidRPr="00926D5B">
        <w:rPr>
          <w:rFonts w:ascii="Times New Roman" w:hAnsi="Times New Roman" w:cs="Times New Roman"/>
          <w:b/>
          <w:sz w:val="28"/>
          <w:szCs w:val="28"/>
        </w:rPr>
        <w:t>Собираемость по муниципальной собственности</w:t>
      </w:r>
      <w:r w:rsidR="003045D2" w:rsidRPr="00926D5B">
        <w:rPr>
          <w:rFonts w:ascii="Times New Roman" w:hAnsi="Times New Roman" w:cs="Times New Roman"/>
          <w:b/>
          <w:sz w:val="28"/>
          <w:szCs w:val="28"/>
        </w:rPr>
        <w:t>.</w:t>
      </w:r>
    </w:p>
    <w:p w:rsidR="00376C84" w:rsidRPr="00376C84" w:rsidRDefault="00532453" w:rsidP="00376C84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2721B" w:rsidRPr="000967F8">
        <w:rPr>
          <w:rFonts w:ascii="Times New Roman" w:hAnsi="Times New Roman" w:cs="Times New Roman"/>
          <w:sz w:val="28"/>
          <w:szCs w:val="28"/>
        </w:rPr>
        <w:t xml:space="preserve">обираемость по муниципальной собственности с начала реализации программы по капитальному ремонту общего имущества многоквартирных домов составила </w:t>
      </w:r>
      <w:r w:rsidR="00376C84" w:rsidRPr="00376C84">
        <w:rPr>
          <w:rFonts w:ascii="Times New Roman" w:hAnsi="Times New Roman" w:cs="Times New Roman"/>
          <w:sz w:val="28"/>
          <w:szCs w:val="28"/>
        </w:rPr>
        <w:t>99,50 %. Общая сумма задолженности по помещениям муниципальной собственности составляет 1,98 млн. руб.</w:t>
      </w:r>
    </w:p>
    <w:p w:rsidR="00376C84" w:rsidRDefault="00376C84" w:rsidP="00376C84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C84">
        <w:rPr>
          <w:rFonts w:ascii="Times New Roman" w:hAnsi="Times New Roman" w:cs="Times New Roman"/>
          <w:sz w:val="28"/>
          <w:szCs w:val="28"/>
        </w:rPr>
        <w:t>Собираемость по муниципальной собственности за 2020 год – 123,39 %.</w:t>
      </w:r>
    </w:p>
    <w:p w:rsidR="00FF4C9A" w:rsidRPr="000967F8" w:rsidRDefault="00FF4C9A" w:rsidP="00376C84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6B1" w:rsidRDefault="00B87063" w:rsidP="00DD06EA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70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A2F9A8" wp14:editId="1F363D69">
            <wp:extent cx="5940425" cy="1826895"/>
            <wp:effectExtent l="0" t="0" r="3175" b="1905"/>
            <wp:docPr id="1" name="Диаграмма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3D750EF9-E4EF-4194-9423-7B8F5CE961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213A" w:rsidRDefault="0041213A" w:rsidP="00DD06EA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46B1" w:rsidRPr="0002721B" w:rsidRDefault="007D46B1" w:rsidP="007477F9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269F871" wp14:editId="266CE0BE">
            <wp:extent cx="5953125" cy="32575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698B" w:rsidRDefault="00C4698B" w:rsidP="00F06091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5F25" w:rsidRPr="00DA09B8" w:rsidRDefault="00525F25" w:rsidP="00DA1158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9B8">
        <w:rPr>
          <w:rFonts w:ascii="Times New Roman" w:hAnsi="Times New Roman" w:cs="Times New Roman"/>
          <w:b/>
          <w:sz w:val="28"/>
          <w:szCs w:val="28"/>
        </w:rPr>
        <w:t>Работа по взысканию задолженности.</w:t>
      </w:r>
    </w:p>
    <w:p w:rsidR="00B24FD9" w:rsidRPr="00DA09B8" w:rsidRDefault="00B24FD9" w:rsidP="00B24FD9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2B1" w:rsidRPr="00DA09B8" w:rsidRDefault="00A442B1" w:rsidP="00F060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по всей Вологодской области проводит работу по взысканию задолженности по уплате взносов на капитальный ремонт общего имущества в многоквартирных домах Вологодской области.</w:t>
      </w:r>
    </w:p>
    <w:p w:rsidR="00A442B1" w:rsidRPr="00DA09B8" w:rsidRDefault="00A442B1" w:rsidP="00F060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задолженности по области составляет </w:t>
      </w:r>
      <w:r w:rsidR="00C35B91">
        <w:rPr>
          <w:rFonts w:ascii="Times New Roman" w:eastAsia="Times New Roman" w:hAnsi="Times New Roman" w:cs="Times New Roman"/>
          <w:sz w:val="28"/>
          <w:szCs w:val="28"/>
          <w:lang w:eastAsia="ru-RU"/>
        </w:rPr>
        <w:t>307,590</w:t>
      </w:r>
      <w:r w:rsidRPr="00DA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C4698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1213A">
        <w:rPr>
          <w:rFonts w:ascii="Times New Roman" w:eastAsia="Times New Roman" w:hAnsi="Times New Roman" w:cs="Times New Roman"/>
          <w:sz w:val="28"/>
          <w:szCs w:val="28"/>
          <w:lang w:eastAsia="ru-RU"/>
        </w:rPr>
        <w:t>н. руб. За период с 2015 по 2019</w:t>
      </w:r>
      <w:r w:rsidRPr="00DA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включительно региональным оператором подано более </w:t>
      </w:r>
      <w:r w:rsidR="00926D5B">
        <w:rPr>
          <w:rFonts w:ascii="Times New Roman" w:eastAsia="Times New Roman" w:hAnsi="Times New Roman" w:cs="Times New Roman"/>
          <w:sz w:val="28"/>
          <w:szCs w:val="28"/>
          <w:lang w:eastAsia="ru-RU"/>
        </w:rPr>
        <w:t>46 937</w:t>
      </w:r>
      <w:r w:rsidRPr="00DA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исковых заявлений (приказов) о взыскании задолженности в судебном порядке на общую сумму </w:t>
      </w:r>
      <w:r w:rsidR="00926D5B">
        <w:rPr>
          <w:rFonts w:ascii="Times New Roman" w:eastAsia="Times New Roman" w:hAnsi="Times New Roman" w:cs="Times New Roman"/>
          <w:sz w:val="28"/>
          <w:szCs w:val="28"/>
          <w:lang w:eastAsia="ru-RU"/>
        </w:rPr>
        <w:t>450 639 315,84</w:t>
      </w:r>
      <w:r w:rsidRPr="00DA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с собственников (физических, юридических лиц, индивидуальных предпринимателей), направлено более </w:t>
      </w:r>
      <w:r w:rsidR="004F72FA" w:rsidRPr="00B835F9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B8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DA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претензий о погашении задолженности в досудебном порядке.</w:t>
      </w:r>
    </w:p>
    <w:p w:rsidR="00A442B1" w:rsidRDefault="00A11D4D" w:rsidP="00F060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442B1" w:rsidRPr="00DA09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26D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442B1" w:rsidRPr="00DA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региональным оператором в отношении собственников помещений в многоквартирном доме (физических, юридических лиц, индивидуальных предпринимателей) были поданы заявления в суд по </w:t>
      </w:r>
      <w:r w:rsidR="00870792">
        <w:rPr>
          <w:rFonts w:ascii="Times New Roman" w:eastAsia="Times New Roman" w:hAnsi="Times New Roman" w:cs="Times New Roman"/>
          <w:sz w:val="28"/>
          <w:szCs w:val="28"/>
          <w:lang w:eastAsia="ru-RU"/>
        </w:rPr>
        <w:t>12 601</w:t>
      </w:r>
      <w:r w:rsidR="00A442B1" w:rsidRPr="00DA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лицевым счетам, на общую сумму </w:t>
      </w:r>
      <w:r w:rsidR="00B835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707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35F9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870792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B8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A442B1" w:rsidRPr="00DA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DA09B8" w:rsidRPr="00DA09B8" w:rsidRDefault="00DA09B8" w:rsidP="00A442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4C" w:rsidRDefault="00E80A4C" w:rsidP="004B6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6B">
        <w:rPr>
          <w:noProof/>
          <w:lang w:eastAsia="ru-RU"/>
        </w:rPr>
        <w:lastRenderedPageBreak/>
        <w:drawing>
          <wp:inline distT="0" distB="0" distL="0" distR="0" wp14:anchorId="2A1D9E06" wp14:editId="4D4413A9">
            <wp:extent cx="6019800" cy="24955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4C9A" w:rsidRPr="004B6B91" w:rsidRDefault="00FF4C9A" w:rsidP="004B6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9B8" w:rsidRPr="003136F7" w:rsidRDefault="006B72F4" w:rsidP="00E80A4C">
      <w:pPr>
        <w:pStyle w:val="aa"/>
        <w:spacing w:after="0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</w:t>
      </w:r>
      <w:r w:rsidR="0041213A">
        <w:rPr>
          <w:rFonts w:ascii="Times New Roman" w:hAnsi="Times New Roman" w:cs="Times New Roman"/>
          <w:sz w:val="28"/>
          <w:szCs w:val="28"/>
        </w:rPr>
        <w:t xml:space="preserve">.12.2020 г. </w:t>
      </w:r>
      <w:r w:rsidR="003136F7">
        <w:rPr>
          <w:rFonts w:ascii="Times New Roman" w:hAnsi="Times New Roman" w:cs="Times New Roman"/>
          <w:sz w:val="28"/>
          <w:szCs w:val="28"/>
        </w:rPr>
        <w:t>взыскано з</w:t>
      </w:r>
      <w:r w:rsidR="00592189" w:rsidRPr="003136F7">
        <w:rPr>
          <w:rFonts w:ascii="Times New Roman" w:hAnsi="Times New Roman" w:cs="Times New Roman"/>
          <w:sz w:val="28"/>
          <w:szCs w:val="28"/>
        </w:rPr>
        <w:t xml:space="preserve">адолженности на общую сумму </w:t>
      </w:r>
      <w:r>
        <w:rPr>
          <w:rFonts w:ascii="Times New Roman" w:hAnsi="Times New Roman" w:cs="Times New Roman"/>
          <w:sz w:val="28"/>
          <w:szCs w:val="28"/>
        </w:rPr>
        <w:t>554,1</w:t>
      </w:r>
      <w:r w:rsidR="00592189" w:rsidRPr="003136F7">
        <w:rPr>
          <w:rFonts w:ascii="Times New Roman" w:hAnsi="Times New Roman" w:cs="Times New Roman"/>
          <w:sz w:val="28"/>
          <w:szCs w:val="28"/>
        </w:rPr>
        <w:t xml:space="preserve"> млн. руб., поступило от судебных приставов – </w:t>
      </w:r>
      <w:r w:rsidR="00592189" w:rsidRPr="004121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75,66</w:t>
      </w:r>
      <w:r w:rsidR="003136F7" w:rsidRPr="003136F7">
        <w:rPr>
          <w:rFonts w:ascii="Times New Roman" w:hAnsi="Times New Roman" w:cs="Times New Roman"/>
          <w:sz w:val="28"/>
          <w:szCs w:val="28"/>
        </w:rPr>
        <w:t xml:space="preserve"> млн. руб. или </w:t>
      </w:r>
      <w:r>
        <w:rPr>
          <w:rFonts w:ascii="Times New Roman" w:hAnsi="Times New Roman" w:cs="Times New Roman"/>
          <w:sz w:val="28"/>
          <w:szCs w:val="28"/>
        </w:rPr>
        <w:t>49,75</w:t>
      </w:r>
      <w:r w:rsidR="003136F7" w:rsidRPr="003136F7">
        <w:rPr>
          <w:rFonts w:ascii="Times New Roman" w:hAnsi="Times New Roman" w:cs="Times New Roman"/>
          <w:sz w:val="28"/>
          <w:szCs w:val="28"/>
        </w:rPr>
        <w:t>%.</w:t>
      </w:r>
    </w:p>
    <w:p w:rsidR="00E80A4C" w:rsidRPr="003136F7" w:rsidRDefault="00E80A4C" w:rsidP="00E80A4C">
      <w:pPr>
        <w:pStyle w:val="aa"/>
        <w:spacing w:after="0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136F7">
        <w:rPr>
          <w:rFonts w:ascii="Times New Roman" w:hAnsi="Times New Roman" w:cs="Times New Roman"/>
          <w:sz w:val="28"/>
          <w:szCs w:val="28"/>
        </w:rPr>
        <w:t xml:space="preserve">Благодаря проведению региональным оператором активной работы с должниками, а также информационно-разъяснительной работе о необходимости платить своевременно </w:t>
      </w:r>
      <w:r w:rsidRPr="00DA09B8">
        <w:rPr>
          <w:rFonts w:ascii="Times New Roman" w:hAnsi="Times New Roman" w:cs="Times New Roman"/>
          <w:sz w:val="28"/>
          <w:szCs w:val="28"/>
        </w:rPr>
        <w:t>взносы на капитальный ремонт увеличивается собираемость взносов, и, как следствие, увеличивается количество отремонтированных домов на территории Вологодской области.</w:t>
      </w:r>
    </w:p>
    <w:p w:rsidR="006E637E" w:rsidRPr="003136F7" w:rsidRDefault="006E637E" w:rsidP="006E637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0C1" w:rsidRPr="006E637E" w:rsidRDefault="00D470C1" w:rsidP="006E637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1D87" w:rsidRDefault="00101D87" w:rsidP="00DA1158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D87">
        <w:rPr>
          <w:rFonts w:ascii="Times New Roman" w:hAnsi="Times New Roman" w:cs="Times New Roman"/>
          <w:b/>
          <w:sz w:val="28"/>
          <w:szCs w:val="28"/>
        </w:rPr>
        <w:t>Реализация Областной программы капитального ремонта</w:t>
      </w:r>
      <w:r w:rsidR="003045D2">
        <w:rPr>
          <w:rFonts w:ascii="Times New Roman" w:hAnsi="Times New Roman" w:cs="Times New Roman"/>
          <w:sz w:val="28"/>
          <w:szCs w:val="28"/>
        </w:rPr>
        <w:t>.</w:t>
      </w:r>
    </w:p>
    <w:p w:rsidR="002A44AD" w:rsidRDefault="002A44AD" w:rsidP="002A44AD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78783D" w:rsidRPr="002A44AD" w:rsidRDefault="00AD139E" w:rsidP="002A44AD">
      <w:pPr>
        <w:spacing w:after="0"/>
        <w:ind w:left="425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="002A44AD" w:rsidRPr="002A44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497E6B" w:rsidRPr="0052326B" w:rsidRDefault="00531CA8" w:rsidP="004F2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Краткосрочный план на 2019-2021 года.</w:t>
      </w:r>
      <w:r w:rsidR="00497E6B" w:rsidRPr="00523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4AD" w:rsidRDefault="00376C84" w:rsidP="004F2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</w:t>
      </w:r>
      <w:r w:rsidR="00497E6B" w:rsidRPr="0052326B">
        <w:rPr>
          <w:rFonts w:ascii="Times New Roman" w:hAnsi="Times New Roman" w:cs="Times New Roman"/>
          <w:sz w:val="28"/>
          <w:szCs w:val="28"/>
        </w:rPr>
        <w:t xml:space="preserve"> 20</w:t>
      </w:r>
      <w:r w:rsidR="00AD139E">
        <w:rPr>
          <w:rFonts w:ascii="Times New Roman" w:hAnsi="Times New Roman" w:cs="Times New Roman"/>
          <w:sz w:val="28"/>
          <w:szCs w:val="28"/>
        </w:rPr>
        <w:t>20</w:t>
      </w:r>
      <w:r w:rsidR="0007721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77210">
        <w:rPr>
          <w:rFonts w:ascii="Times New Roman" w:hAnsi="Times New Roman" w:cs="Times New Roman"/>
          <w:sz w:val="28"/>
          <w:szCs w:val="28"/>
        </w:rPr>
        <w:t xml:space="preserve"> </w:t>
      </w:r>
      <w:r w:rsidR="003136F7">
        <w:rPr>
          <w:rFonts w:ascii="Times New Roman" w:hAnsi="Times New Roman" w:cs="Times New Roman"/>
          <w:sz w:val="28"/>
          <w:szCs w:val="28"/>
        </w:rPr>
        <w:t>отремонтировано</w:t>
      </w:r>
      <w:r w:rsidR="00077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438 МКД в том числе:</w:t>
      </w:r>
      <w:r w:rsidR="00497E6B" w:rsidRPr="00523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C84" w:rsidRDefault="00376C84" w:rsidP="004F2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106B">
        <w:rPr>
          <w:rFonts w:ascii="Times New Roman" w:hAnsi="Times New Roman" w:cs="Times New Roman"/>
          <w:sz w:val="28"/>
          <w:szCs w:val="28"/>
        </w:rPr>
        <w:t>205</w:t>
      </w:r>
      <w:r w:rsidR="00077210">
        <w:rPr>
          <w:rFonts w:ascii="Times New Roman" w:hAnsi="Times New Roman" w:cs="Times New Roman"/>
          <w:sz w:val="28"/>
          <w:szCs w:val="28"/>
        </w:rPr>
        <w:t xml:space="preserve"> МКД на общем счете</w:t>
      </w:r>
      <w:r w:rsidR="00F446BE">
        <w:rPr>
          <w:rFonts w:ascii="Times New Roman" w:hAnsi="Times New Roman" w:cs="Times New Roman"/>
          <w:sz w:val="28"/>
          <w:szCs w:val="28"/>
        </w:rPr>
        <w:t xml:space="preserve"> (на сумму</w:t>
      </w:r>
      <w:r w:rsidR="003136F7">
        <w:rPr>
          <w:rFonts w:ascii="Times New Roman" w:hAnsi="Times New Roman" w:cs="Times New Roman"/>
          <w:sz w:val="28"/>
          <w:szCs w:val="28"/>
        </w:rPr>
        <w:t xml:space="preserve"> </w:t>
      </w:r>
      <w:r w:rsidR="003136F7" w:rsidRPr="007477F9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7477F9" w:rsidRPr="007477F9">
        <w:rPr>
          <w:rFonts w:ascii="Times New Roman" w:hAnsi="Times New Roman" w:cs="Times New Roman"/>
          <w:sz w:val="28"/>
          <w:szCs w:val="28"/>
        </w:rPr>
        <w:t>600,3</w:t>
      </w:r>
      <w:r w:rsidR="003136F7" w:rsidRPr="007477F9">
        <w:rPr>
          <w:rFonts w:ascii="Times New Roman" w:hAnsi="Times New Roman" w:cs="Times New Roman"/>
          <w:sz w:val="28"/>
          <w:szCs w:val="28"/>
        </w:rPr>
        <w:t xml:space="preserve"> </w:t>
      </w:r>
      <w:r w:rsidR="003136F7">
        <w:rPr>
          <w:rFonts w:ascii="Times New Roman" w:hAnsi="Times New Roman" w:cs="Times New Roman"/>
          <w:sz w:val="28"/>
          <w:szCs w:val="28"/>
        </w:rPr>
        <w:t>млн. руб.)</w:t>
      </w:r>
      <w:r w:rsidR="000772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1CA8" w:rsidRPr="0052326B" w:rsidRDefault="00376C84" w:rsidP="004F2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77F9">
        <w:rPr>
          <w:rFonts w:ascii="Times New Roman" w:hAnsi="Times New Roman" w:cs="Times New Roman"/>
          <w:sz w:val="28"/>
          <w:szCs w:val="28"/>
        </w:rPr>
        <w:t>23</w:t>
      </w:r>
      <w:r w:rsidR="00BC78E1">
        <w:rPr>
          <w:rFonts w:ascii="Times New Roman" w:hAnsi="Times New Roman" w:cs="Times New Roman"/>
          <w:sz w:val="28"/>
          <w:szCs w:val="28"/>
        </w:rPr>
        <w:t>2</w:t>
      </w:r>
      <w:r w:rsidR="00CE7E51">
        <w:rPr>
          <w:rFonts w:ascii="Times New Roman" w:hAnsi="Times New Roman" w:cs="Times New Roman"/>
          <w:sz w:val="28"/>
          <w:szCs w:val="28"/>
        </w:rPr>
        <w:t xml:space="preserve"> МКД на специальных счетах</w:t>
      </w:r>
      <w:r w:rsidR="00F446BE">
        <w:rPr>
          <w:rFonts w:ascii="Times New Roman" w:hAnsi="Times New Roman" w:cs="Times New Roman"/>
          <w:sz w:val="28"/>
          <w:szCs w:val="28"/>
        </w:rPr>
        <w:t xml:space="preserve"> на </w:t>
      </w:r>
      <w:r w:rsidR="007477F9" w:rsidRPr="007477F9">
        <w:rPr>
          <w:rFonts w:ascii="Times New Roman" w:hAnsi="Times New Roman" w:cs="Times New Roman"/>
          <w:sz w:val="28"/>
          <w:szCs w:val="28"/>
        </w:rPr>
        <w:t>196,</w:t>
      </w:r>
      <w:r w:rsidR="00BC78E1">
        <w:rPr>
          <w:rFonts w:ascii="Times New Roman" w:hAnsi="Times New Roman" w:cs="Times New Roman"/>
          <w:sz w:val="28"/>
          <w:szCs w:val="28"/>
        </w:rPr>
        <w:t>4</w:t>
      </w:r>
      <w:r w:rsidR="00F446BE" w:rsidRPr="007477F9">
        <w:rPr>
          <w:rFonts w:ascii="Times New Roman" w:hAnsi="Times New Roman" w:cs="Times New Roman"/>
          <w:sz w:val="28"/>
          <w:szCs w:val="28"/>
        </w:rPr>
        <w:t xml:space="preserve"> </w:t>
      </w:r>
      <w:r w:rsidR="00F446BE">
        <w:rPr>
          <w:rFonts w:ascii="Times New Roman" w:hAnsi="Times New Roman" w:cs="Times New Roman"/>
          <w:sz w:val="28"/>
          <w:szCs w:val="28"/>
        </w:rPr>
        <w:t>млн. руб.</w:t>
      </w:r>
      <w:r w:rsidR="00497E6B" w:rsidRPr="00523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CA8" w:rsidRPr="004F2D08" w:rsidRDefault="00531CA8" w:rsidP="00531CA8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4AB2" w:rsidRPr="009416AE" w:rsidRDefault="009416AE" w:rsidP="009416AE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6AE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AD139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416A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564B3E" w:rsidRDefault="002A44AD" w:rsidP="00AF20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AD139E">
        <w:rPr>
          <w:rFonts w:ascii="Times New Roman" w:hAnsi="Times New Roman" w:cs="Times New Roman"/>
          <w:sz w:val="28"/>
          <w:szCs w:val="28"/>
        </w:rPr>
        <w:t>1</w:t>
      </w:r>
      <w:r w:rsidR="00564B3E">
        <w:rPr>
          <w:rFonts w:ascii="Times New Roman" w:hAnsi="Times New Roman" w:cs="Times New Roman"/>
          <w:sz w:val="28"/>
          <w:szCs w:val="28"/>
        </w:rPr>
        <w:t xml:space="preserve"> год запланировано </w:t>
      </w:r>
      <w:r w:rsidR="00BC78E1">
        <w:rPr>
          <w:rFonts w:ascii="Times New Roman" w:hAnsi="Times New Roman" w:cs="Times New Roman"/>
          <w:sz w:val="28"/>
          <w:szCs w:val="28"/>
        </w:rPr>
        <w:t>323</w:t>
      </w:r>
      <w:r w:rsidR="007477F9">
        <w:rPr>
          <w:rFonts w:ascii="Times New Roman" w:hAnsi="Times New Roman" w:cs="Times New Roman"/>
          <w:sz w:val="28"/>
          <w:szCs w:val="28"/>
        </w:rPr>
        <w:t xml:space="preserve"> </w:t>
      </w:r>
      <w:r w:rsidR="00564B3E" w:rsidRPr="0052326B">
        <w:rPr>
          <w:rFonts w:ascii="Times New Roman" w:hAnsi="Times New Roman" w:cs="Times New Roman"/>
          <w:sz w:val="28"/>
          <w:szCs w:val="28"/>
        </w:rPr>
        <w:t>МКД.</w:t>
      </w:r>
    </w:p>
    <w:p w:rsidR="006214AB" w:rsidRPr="006214AB" w:rsidRDefault="006214AB" w:rsidP="006214A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14AB" w:rsidRPr="00AD139E" w:rsidRDefault="006214AB" w:rsidP="006214A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214AB">
        <w:rPr>
          <w:rFonts w:ascii="Times New Roman" w:eastAsia="Calibri" w:hAnsi="Times New Roman" w:cs="Times New Roman"/>
          <w:sz w:val="28"/>
          <w:szCs w:val="28"/>
        </w:rPr>
        <w:t xml:space="preserve">Общая стоимость работ по уже направленным предложениям </w:t>
      </w:r>
      <w:r w:rsidR="00B6106B">
        <w:rPr>
          <w:rFonts w:ascii="Times New Roman" w:eastAsia="Calibri" w:hAnsi="Times New Roman" w:cs="Times New Roman"/>
          <w:sz w:val="28"/>
          <w:szCs w:val="28"/>
        </w:rPr>
        <w:t>на 29</w:t>
      </w:r>
      <w:r w:rsidR="0041213A">
        <w:rPr>
          <w:rFonts w:ascii="Times New Roman" w:eastAsia="Calibri" w:hAnsi="Times New Roman" w:cs="Times New Roman"/>
          <w:sz w:val="28"/>
          <w:szCs w:val="28"/>
        </w:rPr>
        <w:t>9</w:t>
      </w:r>
      <w:r w:rsidR="00B6106B">
        <w:rPr>
          <w:rFonts w:ascii="Times New Roman" w:eastAsia="Calibri" w:hAnsi="Times New Roman" w:cs="Times New Roman"/>
          <w:sz w:val="28"/>
          <w:szCs w:val="28"/>
        </w:rPr>
        <w:t xml:space="preserve"> МКД </w:t>
      </w:r>
      <w:r w:rsidRPr="0041213A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41213A" w:rsidRPr="0041213A">
        <w:rPr>
          <w:rFonts w:ascii="Times New Roman" w:eastAsia="Calibri" w:hAnsi="Times New Roman" w:cs="Times New Roman"/>
          <w:sz w:val="28"/>
          <w:szCs w:val="28"/>
        </w:rPr>
        <w:t>954,70</w:t>
      </w:r>
      <w:r w:rsidRPr="00412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7F9">
        <w:rPr>
          <w:rFonts w:ascii="Times New Roman" w:eastAsia="Calibri" w:hAnsi="Times New Roman" w:cs="Times New Roman"/>
          <w:sz w:val="28"/>
          <w:szCs w:val="28"/>
        </w:rPr>
        <w:t>млн. руб., что на 200,0 млн. руб. превышает собираемость взносов на капитальный ремонт по области. ОМС выделяют приоритетные дома для проведения ремонта в 2021 году.</w:t>
      </w:r>
      <w:r w:rsidRPr="006214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7E6B" w:rsidRDefault="00497E6B" w:rsidP="002759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F4C9A" w:rsidRDefault="00FF4C9A" w:rsidP="002759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F4C9A" w:rsidRPr="00AD139E" w:rsidRDefault="00FF4C9A" w:rsidP="002759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06AF" w:rsidRPr="004F2D08" w:rsidRDefault="004F2D08" w:rsidP="004F2D0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2D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Проблемы при реализации </w:t>
      </w:r>
      <w:r w:rsidR="00DF47DB">
        <w:rPr>
          <w:rFonts w:ascii="Times New Roman" w:eastAsia="Calibri" w:hAnsi="Times New Roman" w:cs="Times New Roman"/>
          <w:b/>
          <w:sz w:val="28"/>
          <w:szCs w:val="28"/>
        </w:rPr>
        <w:t xml:space="preserve">Областного программы </w:t>
      </w:r>
      <w:r w:rsidRPr="004F2D08">
        <w:rPr>
          <w:rFonts w:ascii="Times New Roman" w:eastAsia="Calibri" w:hAnsi="Times New Roman" w:cs="Times New Roman"/>
          <w:b/>
          <w:sz w:val="28"/>
          <w:szCs w:val="28"/>
        </w:rPr>
        <w:t>капитального ремонта</w:t>
      </w:r>
      <w:r w:rsidR="003045D2">
        <w:rPr>
          <w:rFonts w:ascii="Times New Roman" w:hAnsi="Times New Roman" w:cs="Times New Roman"/>
          <w:b/>
          <w:sz w:val="28"/>
          <w:szCs w:val="28"/>
        </w:rPr>
        <w:t>.</w:t>
      </w:r>
    </w:p>
    <w:p w:rsidR="004F2D08" w:rsidRPr="004F2D08" w:rsidRDefault="004F2D08" w:rsidP="004F2D0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D08" w:rsidRPr="004F2D08" w:rsidRDefault="004F2D08" w:rsidP="004F2D0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D08">
        <w:rPr>
          <w:rFonts w:ascii="Times New Roman" w:eastAsia="Calibri" w:hAnsi="Times New Roman" w:cs="Times New Roman"/>
          <w:sz w:val="28"/>
          <w:szCs w:val="28"/>
        </w:rPr>
        <w:t>1. Подготовка краткосрочного плана без учета поступлений денежных средств на капитальный ремонт в пределах муниципальных образований.</w:t>
      </w:r>
    </w:p>
    <w:p w:rsidR="004F2D08" w:rsidRPr="004F2D08" w:rsidRDefault="004F2D08" w:rsidP="004F2D0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D08">
        <w:rPr>
          <w:rFonts w:ascii="Times New Roman" w:eastAsia="Calibri" w:hAnsi="Times New Roman" w:cs="Times New Roman"/>
          <w:sz w:val="28"/>
          <w:szCs w:val="28"/>
        </w:rPr>
        <w:t xml:space="preserve">2. Отсутствие готовности МКД к капитальному ремонту: </w:t>
      </w:r>
    </w:p>
    <w:p w:rsidR="004F2D08" w:rsidRPr="004F2D08" w:rsidRDefault="004F2D08" w:rsidP="004F2D0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D08">
        <w:rPr>
          <w:rFonts w:ascii="Times New Roman" w:eastAsia="Calibri" w:hAnsi="Times New Roman" w:cs="Times New Roman"/>
          <w:sz w:val="28"/>
          <w:szCs w:val="28"/>
        </w:rPr>
        <w:t>- захламление подвальных помещений;</w:t>
      </w:r>
    </w:p>
    <w:p w:rsidR="004F2D08" w:rsidRPr="004F2D08" w:rsidRDefault="004F2D08" w:rsidP="004F2D0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D08">
        <w:rPr>
          <w:rFonts w:ascii="Times New Roman" w:eastAsia="Calibri" w:hAnsi="Times New Roman" w:cs="Times New Roman"/>
          <w:sz w:val="28"/>
          <w:szCs w:val="28"/>
        </w:rPr>
        <w:t>- наличие хоз. построек, препятствующих проведению работ;</w:t>
      </w:r>
    </w:p>
    <w:p w:rsidR="004F2D08" w:rsidRPr="004F2D08" w:rsidRDefault="004F2D08" w:rsidP="004F2D0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D08">
        <w:rPr>
          <w:rFonts w:ascii="Times New Roman" w:eastAsia="Calibri" w:hAnsi="Times New Roman" w:cs="Times New Roman"/>
          <w:sz w:val="28"/>
          <w:szCs w:val="28"/>
        </w:rPr>
        <w:t xml:space="preserve">- затопление подвальных помещений; </w:t>
      </w:r>
    </w:p>
    <w:p w:rsidR="004F2D08" w:rsidRPr="004F2D08" w:rsidRDefault="004F2D08" w:rsidP="004F2D0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D08">
        <w:rPr>
          <w:rFonts w:ascii="Times New Roman" w:eastAsia="Calibri" w:hAnsi="Times New Roman" w:cs="Times New Roman"/>
          <w:sz w:val="28"/>
          <w:szCs w:val="28"/>
        </w:rPr>
        <w:t xml:space="preserve">- загромождение мест общего пользования проводами и кабелями сетевых организаций. </w:t>
      </w:r>
    </w:p>
    <w:p w:rsidR="004F2D08" w:rsidRPr="004F2D08" w:rsidRDefault="004F2D08" w:rsidP="004F2D0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D08">
        <w:rPr>
          <w:rFonts w:ascii="Times New Roman" w:eastAsia="Calibri" w:hAnsi="Times New Roman" w:cs="Times New Roman"/>
          <w:sz w:val="28"/>
          <w:szCs w:val="28"/>
        </w:rPr>
        <w:t>3. Отсутствие со стороны собственников МКД допуска к инженерным сетям для проведения работ в помещениях.</w:t>
      </w:r>
    </w:p>
    <w:p w:rsidR="002030C9" w:rsidRPr="002030C9" w:rsidRDefault="002030C9" w:rsidP="002030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0C9" w:rsidRPr="00D470C1" w:rsidRDefault="002030C9" w:rsidP="00DA1158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0C1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A442B1" w:rsidRPr="00A442B1" w:rsidRDefault="00A442B1" w:rsidP="00B36744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B1">
        <w:rPr>
          <w:rFonts w:ascii="Times New Roman" w:hAnsi="Times New Roman" w:cs="Times New Roman"/>
          <w:sz w:val="28"/>
          <w:szCs w:val="28"/>
        </w:rPr>
        <w:t>Положительные</w:t>
      </w:r>
      <w:r w:rsidR="00AD139E">
        <w:rPr>
          <w:rFonts w:ascii="Times New Roman" w:hAnsi="Times New Roman" w:cs="Times New Roman"/>
          <w:sz w:val="28"/>
          <w:szCs w:val="28"/>
        </w:rPr>
        <w:t xml:space="preserve"> моменты в реализации плана 2020</w:t>
      </w:r>
      <w:r w:rsidRPr="00A442B1">
        <w:rPr>
          <w:rFonts w:ascii="Times New Roman" w:hAnsi="Times New Roman" w:cs="Times New Roman"/>
          <w:sz w:val="28"/>
          <w:szCs w:val="28"/>
        </w:rPr>
        <w:t xml:space="preserve"> года, которые влияют на качество работ:</w:t>
      </w:r>
    </w:p>
    <w:p w:rsidR="00A442B1" w:rsidRPr="00A442B1" w:rsidRDefault="00A442B1" w:rsidP="00B36744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B1">
        <w:rPr>
          <w:rFonts w:ascii="Times New Roman" w:hAnsi="Times New Roman" w:cs="Times New Roman"/>
          <w:sz w:val="28"/>
          <w:szCs w:val="28"/>
        </w:rPr>
        <w:t>- выполнение работ осуществляется подрядными организациями, прошедшими предварительный отбор и имеющих соответствующую квалификацию.</w:t>
      </w:r>
    </w:p>
    <w:p w:rsidR="00A442B1" w:rsidRPr="00A442B1" w:rsidRDefault="00A442B1" w:rsidP="00B36744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B1">
        <w:rPr>
          <w:rFonts w:ascii="Times New Roman" w:hAnsi="Times New Roman" w:cs="Times New Roman"/>
          <w:sz w:val="28"/>
          <w:szCs w:val="28"/>
        </w:rPr>
        <w:t>- всесторонний контроль со стороны УК, собственников, строительного контроля, ОМС и Фонда. При приемке работ по капитальному ремонту, выполняемых Региональным оператором организуется приемочная комиссия, состоящая из собственников помещений, представителей УК, представителей администрации, представителей строительного контроля и представителя Фонда.</w:t>
      </w:r>
    </w:p>
    <w:p w:rsidR="00A442B1" w:rsidRPr="00A442B1" w:rsidRDefault="00A442B1" w:rsidP="00B36744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B1">
        <w:rPr>
          <w:rFonts w:ascii="Times New Roman" w:hAnsi="Times New Roman" w:cs="Times New Roman"/>
          <w:sz w:val="28"/>
          <w:szCs w:val="28"/>
        </w:rPr>
        <w:t xml:space="preserve">- своевременное выполнение сезонных видов работ и своевременная поэтапная реализация краткосрочного плана в целом. </w:t>
      </w:r>
      <w:bookmarkStart w:id="1" w:name="_GoBack"/>
      <w:bookmarkEnd w:id="1"/>
    </w:p>
    <w:sectPr w:rsidR="00A442B1" w:rsidRPr="00A442B1" w:rsidSect="00FC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36B62"/>
    <w:multiLevelType w:val="hybridMultilevel"/>
    <w:tmpl w:val="19CCE590"/>
    <w:lvl w:ilvl="0" w:tplc="767A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215103"/>
    <w:multiLevelType w:val="hybridMultilevel"/>
    <w:tmpl w:val="437E9360"/>
    <w:lvl w:ilvl="0" w:tplc="AF3AE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74751"/>
    <w:multiLevelType w:val="multilevel"/>
    <w:tmpl w:val="6D08269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" w15:restartNumberingAfterBreak="0">
    <w:nsid w:val="2C3C29CA"/>
    <w:multiLevelType w:val="hybridMultilevel"/>
    <w:tmpl w:val="BC5224D6"/>
    <w:lvl w:ilvl="0" w:tplc="8A78C56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A73D27"/>
    <w:multiLevelType w:val="multilevel"/>
    <w:tmpl w:val="8B0A7A4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60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59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9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34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208" w:hanging="2160"/>
      </w:pPr>
      <w:rPr>
        <w:rFonts w:hint="default"/>
        <w:b/>
      </w:rPr>
    </w:lvl>
  </w:abstractNum>
  <w:abstractNum w:abstractNumId="5" w15:restartNumberingAfterBreak="0">
    <w:nsid w:val="34CE6E4E"/>
    <w:multiLevelType w:val="hybridMultilevel"/>
    <w:tmpl w:val="193EAA6A"/>
    <w:lvl w:ilvl="0" w:tplc="2A2C45B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667825"/>
    <w:multiLevelType w:val="hybridMultilevel"/>
    <w:tmpl w:val="193EAA6A"/>
    <w:lvl w:ilvl="0" w:tplc="2A2C45B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5E785F"/>
    <w:multiLevelType w:val="multilevel"/>
    <w:tmpl w:val="59B0135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8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59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9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34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208" w:hanging="2160"/>
      </w:pPr>
      <w:rPr>
        <w:rFonts w:hint="default"/>
        <w:b/>
      </w:rPr>
    </w:lvl>
  </w:abstractNum>
  <w:abstractNum w:abstractNumId="8" w15:restartNumberingAfterBreak="0">
    <w:nsid w:val="41F22266"/>
    <w:multiLevelType w:val="hybridMultilevel"/>
    <w:tmpl w:val="AC640B5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A2A6380"/>
    <w:multiLevelType w:val="hybridMultilevel"/>
    <w:tmpl w:val="DDFA5D18"/>
    <w:lvl w:ilvl="0" w:tplc="107CB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4E2AC7"/>
    <w:multiLevelType w:val="hybridMultilevel"/>
    <w:tmpl w:val="9DC41812"/>
    <w:lvl w:ilvl="0" w:tplc="88303AFE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DB64786"/>
    <w:multiLevelType w:val="multilevel"/>
    <w:tmpl w:val="BC466D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6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2" w15:restartNumberingAfterBreak="0">
    <w:nsid w:val="73375C33"/>
    <w:multiLevelType w:val="multilevel"/>
    <w:tmpl w:val="7C72A326"/>
    <w:lvl w:ilvl="0">
      <w:start w:val="3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18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74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96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158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14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065" w:hanging="2160"/>
      </w:pPr>
      <w:rPr>
        <w:rFonts w:hint="default"/>
        <w:b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1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E8"/>
    <w:rsid w:val="00001080"/>
    <w:rsid w:val="00013554"/>
    <w:rsid w:val="00014B04"/>
    <w:rsid w:val="00015C51"/>
    <w:rsid w:val="000200AC"/>
    <w:rsid w:val="00026494"/>
    <w:rsid w:val="0002721B"/>
    <w:rsid w:val="00027F9C"/>
    <w:rsid w:val="00034A2A"/>
    <w:rsid w:val="0005686A"/>
    <w:rsid w:val="000658F3"/>
    <w:rsid w:val="0006722D"/>
    <w:rsid w:val="0007624E"/>
    <w:rsid w:val="00077210"/>
    <w:rsid w:val="00086493"/>
    <w:rsid w:val="000904AE"/>
    <w:rsid w:val="00091500"/>
    <w:rsid w:val="000967F8"/>
    <w:rsid w:val="000A32F3"/>
    <w:rsid w:val="000A7F7C"/>
    <w:rsid w:val="000C1DAF"/>
    <w:rsid w:val="000C1E80"/>
    <w:rsid w:val="000C48C7"/>
    <w:rsid w:val="000D4F00"/>
    <w:rsid w:val="000E4EB8"/>
    <w:rsid w:val="000E542B"/>
    <w:rsid w:val="000F23F2"/>
    <w:rsid w:val="000F343F"/>
    <w:rsid w:val="000F58B1"/>
    <w:rsid w:val="000F6661"/>
    <w:rsid w:val="00101D87"/>
    <w:rsid w:val="001160A7"/>
    <w:rsid w:val="00122DF9"/>
    <w:rsid w:val="001279A6"/>
    <w:rsid w:val="00132FA7"/>
    <w:rsid w:val="00135C53"/>
    <w:rsid w:val="00144D76"/>
    <w:rsid w:val="00150358"/>
    <w:rsid w:val="0016206F"/>
    <w:rsid w:val="00164594"/>
    <w:rsid w:val="001671D7"/>
    <w:rsid w:val="001759EE"/>
    <w:rsid w:val="00180FF2"/>
    <w:rsid w:val="0018631A"/>
    <w:rsid w:val="001A1EE4"/>
    <w:rsid w:val="001A705D"/>
    <w:rsid w:val="001B06E0"/>
    <w:rsid w:val="001C1EF3"/>
    <w:rsid w:val="001C3663"/>
    <w:rsid w:val="001C465E"/>
    <w:rsid w:val="001F0574"/>
    <w:rsid w:val="001F1413"/>
    <w:rsid w:val="001F1D25"/>
    <w:rsid w:val="002030C9"/>
    <w:rsid w:val="00204942"/>
    <w:rsid w:val="00213B24"/>
    <w:rsid w:val="00222E2E"/>
    <w:rsid w:val="0022650D"/>
    <w:rsid w:val="00226F94"/>
    <w:rsid w:val="0022779E"/>
    <w:rsid w:val="002279A4"/>
    <w:rsid w:val="00235AF8"/>
    <w:rsid w:val="002555C9"/>
    <w:rsid w:val="00257CD0"/>
    <w:rsid w:val="002605A6"/>
    <w:rsid w:val="002605C8"/>
    <w:rsid w:val="0027126C"/>
    <w:rsid w:val="002759E9"/>
    <w:rsid w:val="002848C4"/>
    <w:rsid w:val="00286812"/>
    <w:rsid w:val="00295339"/>
    <w:rsid w:val="002A44AD"/>
    <w:rsid w:val="002B0D1E"/>
    <w:rsid w:val="002C31CD"/>
    <w:rsid w:val="002C387C"/>
    <w:rsid w:val="002D2AAE"/>
    <w:rsid w:val="002D55C0"/>
    <w:rsid w:val="002D71E5"/>
    <w:rsid w:val="002E7E41"/>
    <w:rsid w:val="002E7FDD"/>
    <w:rsid w:val="002F056E"/>
    <w:rsid w:val="002F2A0C"/>
    <w:rsid w:val="002F7DAD"/>
    <w:rsid w:val="003045D2"/>
    <w:rsid w:val="003136F7"/>
    <w:rsid w:val="00327AF1"/>
    <w:rsid w:val="00331D09"/>
    <w:rsid w:val="00346479"/>
    <w:rsid w:val="00355B48"/>
    <w:rsid w:val="00357E83"/>
    <w:rsid w:val="003620A8"/>
    <w:rsid w:val="00363746"/>
    <w:rsid w:val="00363A44"/>
    <w:rsid w:val="0036434A"/>
    <w:rsid w:val="00365554"/>
    <w:rsid w:val="00370F07"/>
    <w:rsid w:val="00373278"/>
    <w:rsid w:val="00375FC1"/>
    <w:rsid w:val="00376C84"/>
    <w:rsid w:val="0038050B"/>
    <w:rsid w:val="00382EDE"/>
    <w:rsid w:val="00391CAC"/>
    <w:rsid w:val="003A0A23"/>
    <w:rsid w:val="003A23D2"/>
    <w:rsid w:val="003B001A"/>
    <w:rsid w:val="003B1B34"/>
    <w:rsid w:val="003B2267"/>
    <w:rsid w:val="003B7DCB"/>
    <w:rsid w:val="003C306C"/>
    <w:rsid w:val="003C384B"/>
    <w:rsid w:val="003C4B1A"/>
    <w:rsid w:val="003C5BDB"/>
    <w:rsid w:val="003C6172"/>
    <w:rsid w:val="003D4249"/>
    <w:rsid w:val="003D4CB2"/>
    <w:rsid w:val="003F1CA0"/>
    <w:rsid w:val="003F3C3F"/>
    <w:rsid w:val="003F566C"/>
    <w:rsid w:val="003F6222"/>
    <w:rsid w:val="00403817"/>
    <w:rsid w:val="0041213A"/>
    <w:rsid w:val="004145D2"/>
    <w:rsid w:val="00420E55"/>
    <w:rsid w:val="00430E54"/>
    <w:rsid w:val="00442EB5"/>
    <w:rsid w:val="0045772B"/>
    <w:rsid w:val="00462F8A"/>
    <w:rsid w:val="00470CBE"/>
    <w:rsid w:val="00475147"/>
    <w:rsid w:val="00475EA9"/>
    <w:rsid w:val="004769CB"/>
    <w:rsid w:val="00476CAE"/>
    <w:rsid w:val="00477416"/>
    <w:rsid w:val="00480056"/>
    <w:rsid w:val="0048660C"/>
    <w:rsid w:val="00487516"/>
    <w:rsid w:val="00494569"/>
    <w:rsid w:val="00497E6B"/>
    <w:rsid w:val="00497FA2"/>
    <w:rsid w:val="004A48A2"/>
    <w:rsid w:val="004A5FB2"/>
    <w:rsid w:val="004B1769"/>
    <w:rsid w:val="004B2023"/>
    <w:rsid w:val="004B6870"/>
    <w:rsid w:val="004B6B91"/>
    <w:rsid w:val="004B75EA"/>
    <w:rsid w:val="004C0AAD"/>
    <w:rsid w:val="004C0BE0"/>
    <w:rsid w:val="004C2DD4"/>
    <w:rsid w:val="004D59DE"/>
    <w:rsid w:val="004E2570"/>
    <w:rsid w:val="004E2591"/>
    <w:rsid w:val="004E52EF"/>
    <w:rsid w:val="004E5F15"/>
    <w:rsid w:val="004F1A7D"/>
    <w:rsid w:val="004F29A2"/>
    <w:rsid w:val="004F2C66"/>
    <w:rsid w:val="004F2D08"/>
    <w:rsid w:val="004F4A6D"/>
    <w:rsid w:val="004F50F0"/>
    <w:rsid w:val="004F72FA"/>
    <w:rsid w:val="0050056B"/>
    <w:rsid w:val="00503D70"/>
    <w:rsid w:val="00506CDF"/>
    <w:rsid w:val="00507E3F"/>
    <w:rsid w:val="005108F5"/>
    <w:rsid w:val="00510B00"/>
    <w:rsid w:val="005145AF"/>
    <w:rsid w:val="00520965"/>
    <w:rsid w:val="0052326B"/>
    <w:rsid w:val="00525F25"/>
    <w:rsid w:val="00526482"/>
    <w:rsid w:val="00531CA8"/>
    <w:rsid w:val="00532453"/>
    <w:rsid w:val="00542AF4"/>
    <w:rsid w:val="0055463E"/>
    <w:rsid w:val="00557657"/>
    <w:rsid w:val="0056057C"/>
    <w:rsid w:val="00561A50"/>
    <w:rsid w:val="005634B1"/>
    <w:rsid w:val="0056425B"/>
    <w:rsid w:val="00564B3E"/>
    <w:rsid w:val="0056677E"/>
    <w:rsid w:val="005667B0"/>
    <w:rsid w:val="005748C2"/>
    <w:rsid w:val="005767CE"/>
    <w:rsid w:val="005805BC"/>
    <w:rsid w:val="00586EC7"/>
    <w:rsid w:val="00587721"/>
    <w:rsid w:val="00587E7F"/>
    <w:rsid w:val="005905CE"/>
    <w:rsid w:val="00592189"/>
    <w:rsid w:val="005A68A6"/>
    <w:rsid w:val="005A7CBB"/>
    <w:rsid w:val="005B20CB"/>
    <w:rsid w:val="005B2E03"/>
    <w:rsid w:val="005B5C2D"/>
    <w:rsid w:val="005C03C7"/>
    <w:rsid w:val="005D238E"/>
    <w:rsid w:val="005E3BE0"/>
    <w:rsid w:val="005E6B2B"/>
    <w:rsid w:val="005F754B"/>
    <w:rsid w:val="00605D41"/>
    <w:rsid w:val="0061001D"/>
    <w:rsid w:val="00620C33"/>
    <w:rsid w:val="006214AB"/>
    <w:rsid w:val="0062309E"/>
    <w:rsid w:val="00627827"/>
    <w:rsid w:val="00627B59"/>
    <w:rsid w:val="006400C1"/>
    <w:rsid w:val="00656290"/>
    <w:rsid w:val="006709D3"/>
    <w:rsid w:val="00673557"/>
    <w:rsid w:val="00675FFF"/>
    <w:rsid w:val="0069004A"/>
    <w:rsid w:val="006902D2"/>
    <w:rsid w:val="00693A84"/>
    <w:rsid w:val="00694A6E"/>
    <w:rsid w:val="00695DF6"/>
    <w:rsid w:val="006A2631"/>
    <w:rsid w:val="006B5CF7"/>
    <w:rsid w:val="006B72F4"/>
    <w:rsid w:val="006C3C67"/>
    <w:rsid w:val="006C7352"/>
    <w:rsid w:val="006C7465"/>
    <w:rsid w:val="006D16F8"/>
    <w:rsid w:val="006D34DF"/>
    <w:rsid w:val="006D4427"/>
    <w:rsid w:val="006E1B2E"/>
    <w:rsid w:val="006E637E"/>
    <w:rsid w:val="006F38FF"/>
    <w:rsid w:val="006F62D4"/>
    <w:rsid w:val="006F7C5A"/>
    <w:rsid w:val="007274A6"/>
    <w:rsid w:val="007278CA"/>
    <w:rsid w:val="00740053"/>
    <w:rsid w:val="0074226D"/>
    <w:rsid w:val="00742F4D"/>
    <w:rsid w:val="007477F9"/>
    <w:rsid w:val="00750365"/>
    <w:rsid w:val="00750F49"/>
    <w:rsid w:val="0075405E"/>
    <w:rsid w:val="00762935"/>
    <w:rsid w:val="007635C8"/>
    <w:rsid w:val="00764CA2"/>
    <w:rsid w:val="00766AEB"/>
    <w:rsid w:val="00766E2E"/>
    <w:rsid w:val="00776B58"/>
    <w:rsid w:val="0078783D"/>
    <w:rsid w:val="007928FD"/>
    <w:rsid w:val="00792EF5"/>
    <w:rsid w:val="00793134"/>
    <w:rsid w:val="007A1EB9"/>
    <w:rsid w:val="007A4B6B"/>
    <w:rsid w:val="007A6DDD"/>
    <w:rsid w:val="007A7D42"/>
    <w:rsid w:val="007C2580"/>
    <w:rsid w:val="007C2A09"/>
    <w:rsid w:val="007C342F"/>
    <w:rsid w:val="007C4DAF"/>
    <w:rsid w:val="007C6A5D"/>
    <w:rsid w:val="007D46B1"/>
    <w:rsid w:val="007D4CC6"/>
    <w:rsid w:val="007D525C"/>
    <w:rsid w:val="007D7158"/>
    <w:rsid w:val="007E7E05"/>
    <w:rsid w:val="007F1A4E"/>
    <w:rsid w:val="007F5443"/>
    <w:rsid w:val="00814761"/>
    <w:rsid w:val="008200E8"/>
    <w:rsid w:val="008214F9"/>
    <w:rsid w:val="00823EE3"/>
    <w:rsid w:val="0082683A"/>
    <w:rsid w:val="00832BFD"/>
    <w:rsid w:val="00842AE7"/>
    <w:rsid w:val="00850649"/>
    <w:rsid w:val="00851841"/>
    <w:rsid w:val="0085206E"/>
    <w:rsid w:val="00853A63"/>
    <w:rsid w:val="0085700B"/>
    <w:rsid w:val="008575ED"/>
    <w:rsid w:val="0086748F"/>
    <w:rsid w:val="00870792"/>
    <w:rsid w:val="008732D1"/>
    <w:rsid w:val="00875685"/>
    <w:rsid w:val="00894DCE"/>
    <w:rsid w:val="00895984"/>
    <w:rsid w:val="008A2827"/>
    <w:rsid w:val="008A5C39"/>
    <w:rsid w:val="008B5A35"/>
    <w:rsid w:val="008B7C58"/>
    <w:rsid w:val="008C3772"/>
    <w:rsid w:val="008C3A38"/>
    <w:rsid w:val="008D1BC6"/>
    <w:rsid w:val="008D3C5F"/>
    <w:rsid w:val="008E3E4A"/>
    <w:rsid w:val="008E4139"/>
    <w:rsid w:val="00905D66"/>
    <w:rsid w:val="00910E84"/>
    <w:rsid w:val="0091205F"/>
    <w:rsid w:val="009138A4"/>
    <w:rsid w:val="00914AB2"/>
    <w:rsid w:val="009154B5"/>
    <w:rsid w:val="00916253"/>
    <w:rsid w:val="009222F8"/>
    <w:rsid w:val="00926D5B"/>
    <w:rsid w:val="00937E55"/>
    <w:rsid w:val="00940FB7"/>
    <w:rsid w:val="009416AE"/>
    <w:rsid w:val="0095447C"/>
    <w:rsid w:val="00955E1C"/>
    <w:rsid w:val="009564A6"/>
    <w:rsid w:val="00956587"/>
    <w:rsid w:val="009606C9"/>
    <w:rsid w:val="00960B00"/>
    <w:rsid w:val="00961762"/>
    <w:rsid w:val="00964558"/>
    <w:rsid w:val="009664FF"/>
    <w:rsid w:val="00970875"/>
    <w:rsid w:val="0097216E"/>
    <w:rsid w:val="00976BC6"/>
    <w:rsid w:val="00977662"/>
    <w:rsid w:val="00985EF4"/>
    <w:rsid w:val="009877E9"/>
    <w:rsid w:val="00990914"/>
    <w:rsid w:val="0099762E"/>
    <w:rsid w:val="009A03FD"/>
    <w:rsid w:val="009A0478"/>
    <w:rsid w:val="009A691D"/>
    <w:rsid w:val="009A7C93"/>
    <w:rsid w:val="009B0F8B"/>
    <w:rsid w:val="009B1969"/>
    <w:rsid w:val="009B2434"/>
    <w:rsid w:val="009B3B4E"/>
    <w:rsid w:val="009B5FEC"/>
    <w:rsid w:val="009B7BF8"/>
    <w:rsid w:val="009C3F9E"/>
    <w:rsid w:val="009C6ADF"/>
    <w:rsid w:val="009E4F58"/>
    <w:rsid w:val="009F5FC1"/>
    <w:rsid w:val="00A015B1"/>
    <w:rsid w:val="00A02C71"/>
    <w:rsid w:val="00A05181"/>
    <w:rsid w:val="00A11D4D"/>
    <w:rsid w:val="00A15DAB"/>
    <w:rsid w:val="00A37279"/>
    <w:rsid w:val="00A37E84"/>
    <w:rsid w:val="00A442B1"/>
    <w:rsid w:val="00A479D6"/>
    <w:rsid w:val="00A50389"/>
    <w:rsid w:val="00A55926"/>
    <w:rsid w:val="00A564CC"/>
    <w:rsid w:val="00A6190A"/>
    <w:rsid w:val="00A73C89"/>
    <w:rsid w:val="00A85A34"/>
    <w:rsid w:val="00AA27AB"/>
    <w:rsid w:val="00AA6201"/>
    <w:rsid w:val="00AB1456"/>
    <w:rsid w:val="00AB2C3D"/>
    <w:rsid w:val="00AB2C83"/>
    <w:rsid w:val="00AB59B7"/>
    <w:rsid w:val="00AD139E"/>
    <w:rsid w:val="00AD1D01"/>
    <w:rsid w:val="00AD3A94"/>
    <w:rsid w:val="00AD442D"/>
    <w:rsid w:val="00AE11C9"/>
    <w:rsid w:val="00AE4B59"/>
    <w:rsid w:val="00AF2049"/>
    <w:rsid w:val="00AF4AC6"/>
    <w:rsid w:val="00B01126"/>
    <w:rsid w:val="00B24FD9"/>
    <w:rsid w:val="00B300D5"/>
    <w:rsid w:val="00B307DB"/>
    <w:rsid w:val="00B36744"/>
    <w:rsid w:val="00B419F5"/>
    <w:rsid w:val="00B45BC6"/>
    <w:rsid w:val="00B54ABD"/>
    <w:rsid w:val="00B57C8F"/>
    <w:rsid w:val="00B6106B"/>
    <w:rsid w:val="00B62A94"/>
    <w:rsid w:val="00B67EF0"/>
    <w:rsid w:val="00B71E1A"/>
    <w:rsid w:val="00B835F9"/>
    <w:rsid w:val="00B8462C"/>
    <w:rsid w:val="00B87063"/>
    <w:rsid w:val="00B91735"/>
    <w:rsid w:val="00B92D8E"/>
    <w:rsid w:val="00B93891"/>
    <w:rsid w:val="00BA00DF"/>
    <w:rsid w:val="00BA0340"/>
    <w:rsid w:val="00BB3670"/>
    <w:rsid w:val="00BC65D0"/>
    <w:rsid w:val="00BC78E1"/>
    <w:rsid w:val="00BE7D4E"/>
    <w:rsid w:val="00BF10BE"/>
    <w:rsid w:val="00BF2C4D"/>
    <w:rsid w:val="00C07A20"/>
    <w:rsid w:val="00C27B19"/>
    <w:rsid w:val="00C35B91"/>
    <w:rsid w:val="00C43204"/>
    <w:rsid w:val="00C468C2"/>
    <w:rsid w:val="00C4698B"/>
    <w:rsid w:val="00C62B19"/>
    <w:rsid w:val="00C7024D"/>
    <w:rsid w:val="00C76482"/>
    <w:rsid w:val="00C82B30"/>
    <w:rsid w:val="00C83366"/>
    <w:rsid w:val="00C9153D"/>
    <w:rsid w:val="00CA6ED7"/>
    <w:rsid w:val="00CB510B"/>
    <w:rsid w:val="00CC39FB"/>
    <w:rsid w:val="00CD1C4A"/>
    <w:rsid w:val="00CD43C5"/>
    <w:rsid w:val="00CE23EF"/>
    <w:rsid w:val="00CE43AD"/>
    <w:rsid w:val="00CE7E51"/>
    <w:rsid w:val="00CF74F7"/>
    <w:rsid w:val="00D03B23"/>
    <w:rsid w:val="00D063B4"/>
    <w:rsid w:val="00D106CA"/>
    <w:rsid w:val="00D12826"/>
    <w:rsid w:val="00D16350"/>
    <w:rsid w:val="00D201F5"/>
    <w:rsid w:val="00D20474"/>
    <w:rsid w:val="00D25F48"/>
    <w:rsid w:val="00D2642A"/>
    <w:rsid w:val="00D33022"/>
    <w:rsid w:val="00D34763"/>
    <w:rsid w:val="00D405C5"/>
    <w:rsid w:val="00D470C1"/>
    <w:rsid w:val="00D56FE5"/>
    <w:rsid w:val="00D67AB4"/>
    <w:rsid w:val="00D74F88"/>
    <w:rsid w:val="00D75982"/>
    <w:rsid w:val="00D83D54"/>
    <w:rsid w:val="00D84B4E"/>
    <w:rsid w:val="00D86980"/>
    <w:rsid w:val="00D95738"/>
    <w:rsid w:val="00DA09B8"/>
    <w:rsid w:val="00DA1158"/>
    <w:rsid w:val="00DA1893"/>
    <w:rsid w:val="00DB5EF8"/>
    <w:rsid w:val="00DB69F3"/>
    <w:rsid w:val="00DC226D"/>
    <w:rsid w:val="00DC5260"/>
    <w:rsid w:val="00DD06EA"/>
    <w:rsid w:val="00DD27E3"/>
    <w:rsid w:val="00DF47DB"/>
    <w:rsid w:val="00DF5732"/>
    <w:rsid w:val="00E010E7"/>
    <w:rsid w:val="00E1325A"/>
    <w:rsid w:val="00E15768"/>
    <w:rsid w:val="00E16EB0"/>
    <w:rsid w:val="00E17FB1"/>
    <w:rsid w:val="00E21202"/>
    <w:rsid w:val="00E26219"/>
    <w:rsid w:val="00E36EAE"/>
    <w:rsid w:val="00E41AE5"/>
    <w:rsid w:val="00E425C7"/>
    <w:rsid w:val="00E54405"/>
    <w:rsid w:val="00E54DB6"/>
    <w:rsid w:val="00E57485"/>
    <w:rsid w:val="00E80A4C"/>
    <w:rsid w:val="00E82B84"/>
    <w:rsid w:val="00E91DF7"/>
    <w:rsid w:val="00E93D6F"/>
    <w:rsid w:val="00E954F2"/>
    <w:rsid w:val="00E97516"/>
    <w:rsid w:val="00EA2173"/>
    <w:rsid w:val="00EB7316"/>
    <w:rsid w:val="00EC2248"/>
    <w:rsid w:val="00ED0A74"/>
    <w:rsid w:val="00EF06FD"/>
    <w:rsid w:val="00F018A9"/>
    <w:rsid w:val="00F04000"/>
    <w:rsid w:val="00F06091"/>
    <w:rsid w:val="00F106AF"/>
    <w:rsid w:val="00F122C2"/>
    <w:rsid w:val="00F373DC"/>
    <w:rsid w:val="00F416B4"/>
    <w:rsid w:val="00F446BE"/>
    <w:rsid w:val="00F52C8D"/>
    <w:rsid w:val="00F53F78"/>
    <w:rsid w:val="00F54E6F"/>
    <w:rsid w:val="00F55BD2"/>
    <w:rsid w:val="00F55E78"/>
    <w:rsid w:val="00F55FAB"/>
    <w:rsid w:val="00F77A57"/>
    <w:rsid w:val="00F8362F"/>
    <w:rsid w:val="00FA310A"/>
    <w:rsid w:val="00FA480A"/>
    <w:rsid w:val="00FB21B6"/>
    <w:rsid w:val="00FC1A2C"/>
    <w:rsid w:val="00FC4482"/>
    <w:rsid w:val="00FC57AE"/>
    <w:rsid w:val="00FD27E6"/>
    <w:rsid w:val="00FD2B47"/>
    <w:rsid w:val="00FD3F24"/>
    <w:rsid w:val="00FD72B4"/>
    <w:rsid w:val="00FE7831"/>
    <w:rsid w:val="00FF352A"/>
    <w:rsid w:val="00FF4C9A"/>
    <w:rsid w:val="00FF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05C9-FEE1-42A1-9FF1-DD2B948E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13B2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13B2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13B2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13B2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13B2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3B2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13B24"/>
    <w:pPr>
      <w:ind w:left="720"/>
      <w:contextualSpacing/>
    </w:pPr>
  </w:style>
  <w:style w:type="table" w:styleId="ab">
    <w:name w:val="Table Grid"/>
    <w:basedOn w:val="a1"/>
    <w:uiPriority w:val="39"/>
    <w:rsid w:val="001F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F2D08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39"/>
    <w:rsid w:val="004B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Общая собираемость по годам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ED7D31"/>
              </a:solidFill>
              <a:ln>
                <a:solidFill>
                  <a:sysClr val="windowText" lastClr="000000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A5A5A5"/>
              </a:solidFill>
              <a:ln>
                <a:solidFill>
                  <a:sysClr val="windowText" lastClr="000000"/>
                </a:solidFill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5B9BD5"/>
              </a:solidFill>
              <a:ln>
                <a:solidFill>
                  <a:sysClr val="windowText" lastClr="000000"/>
                </a:solidFill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70AD47"/>
              </a:solidFill>
              <a:ln>
                <a:solidFill>
                  <a:sysClr val="windowText" lastClr="000000"/>
                </a:solidFill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7030A0"/>
              </a:solidFill>
              <a:ln>
                <a:solidFill>
                  <a:sysClr val="windowText" lastClr="000000"/>
                </a:solidFill>
              </a:ln>
              <a:effectLst/>
            </c:spPr>
          </c:dPt>
          <c:dLbls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111,20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PowerPoint]Лист1'!$B$1:$H$1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'[Диаграмма в Microsoft PowerPoint]Лист1'!$B$2:$H$2</c:f>
              <c:numCache>
                <c:formatCode>General</c:formatCode>
                <c:ptCount val="7"/>
                <c:pt idx="0">
                  <c:v>55.6</c:v>
                </c:pt>
                <c:pt idx="1">
                  <c:v>80</c:v>
                </c:pt>
                <c:pt idx="2">
                  <c:v>105.71</c:v>
                </c:pt>
                <c:pt idx="3">
                  <c:v>103.54</c:v>
                </c:pt>
                <c:pt idx="4">
                  <c:v>104.92</c:v>
                </c:pt>
                <c:pt idx="5">
                  <c:v>108.14</c:v>
                </c:pt>
                <c:pt idx="6">
                  <c:v>109.38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9263088"/>
        <c:axId val="1249264176"/>
      </c:barChart>
      <c:catAx>
        <c:axId val="1249263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9264176"/>
        <c:crosses val="autoZero"/>
        <c:auto val="1"/>
        <c:lblAlgn val="ctr"/>
        <c:lblOffset val="100"/>
        <c:noMultiLvlLbl val="0"/>
      </c:catAx>
      <c:valAx>
        <c:axId val="1249264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9263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Общая</a:t>
            </a:r>
            <a:r>
              <a:rPr lang="ru-RU" baseline="0"/>
              <a:t> с</a:t>
            </a:r>
            <a:r>
              <a:rPr lang="ru-RU"/>
              <a:t>обираемость нарастающим итогом </a:t>
            </a:r>
          </a:p>
          <a:p>
            <a:pPr>
              <a:defRPr/>
            </a:pPr>
            <a:r>
              <a:rPr lang="ru-RU"/>
              <a:t>в %, по годам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Собираемость нарастающим итогом в %, по годам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6.9444444444444441E-3"/>
                  <c:y val="3.5714285714285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24E-44F9-B6D1-70A045E7A30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4722222222222224E-2"/>
                  <c:y val="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24E-44F9-B6D1-70A045E7A30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0833333333333332E-2"/>
                  <c:y val="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24E-44F9-B6D1-70A045E7A30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0833333333333332E-2"/>
                  <c:y val="5.1587301587301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1D2-4CC9-835C-037085023E8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5.15873015873015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149-4143-8DF2-1A93C74C656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55.6</c:v>
                </c:pt>
                <c:pt idx="1">
                  <c:v>80</c:v>
                </c:pt>
                <c:pt idx="2">
                  <c:v>87.31</c:v>
                </c:pt>
                <c:pt idx="3">
                  <c:v>90.2</c:v>
                </c:pt>
                <c:pt idx="4">
                  <c:v>91.43</c:v>
                </c:pt>
                <c:pt idx="5">
                  <c:v>92.34</c:v>
                </c:pt>
                <c:pt idx="6">
                  <c:v>92.81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24E-44F9-B6D1-70A045E7A3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9265808"/>
        <c:axId val="1249264720"/>
      </c:lineChart>
      <c:catAx>
        <c:axId val="1249265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9264720"/>
        <c:crosses val="autoZero"/>
        <c:auto val="1"/>
        <c:lblAlgn val="ctr"/>
        <c:lblOffset val="100"/>
        <c:noMultiLvlLbl val="0"/>
      </c:catAx>
      <c:valAx>
        <c:axId val="1249264720"/>
        <c:scaling>
          <c:orientation val="minMax"/>
          <c:min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9265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Собираемость по муниципальной собственности</a:t>
            </a:r>
          </a:p>
          <a:p>
            <a:pPr>
              <a:defRPr b="1"/>
            </a:pPr>
            <a:r>
              <a:rPr lang="ru-RU" b="1"/>
              <a:t> по годам</a:t>
            </a:r>
            <a:r>
              <a:rPr lang="ru-RU" b="1" baseline="0"/>
              <a:t> в %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2761935638665064E-2"/>
          <c:y val="0.19460850960503501"/>
          <c:w val="0.95437113940442808"/>
          <c:h val="0.667227550451845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21.89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2C-4084-8B17-8D58CD38C68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100.09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F2C-4084-8B17-8D58CD38C68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86.81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F2C-4084-8B17-8D58CD38C68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110.71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F2C-4084-8B17-8D58CD38C68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tx2">
                <a:lumMod val="75000"/>
                <a:lumOff val="2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119.34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EC-4DF3-AEF6-911101ADFC5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119.03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123.39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9267984"/>
        <c:axId val="1249270160"/>
      </c:barChart>
      <c:catAx>
        <c:axId val="124926798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49270160"/>
        <c:crosses val="autoZero"/>
        <c:auto val="1"/>
        <c:lblAlgn val="ctr"/>
        <c:lblOffset val="100"/>
        <c:noMultiLvlLbl val="0"/>
      </c:catAx>
      <c:valAx>
        <c:axId val="1249270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9267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8060773885208061E-2"/>
          <c:y val="0.87880628760703328"/>
          <c:w val="0.89277013008328532"/>
          <c:h val="0.121193609922847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С</a:t>
            </a:r>
            <a:r>
              <a:rPr lang="ru-RU"/>
              <a:t>обираемость по муниципальной собственности  нарастающим итогом в %, по годам</a:t>
            </a:r>
          </a:p>
        </c:rich>
      </c:tx>
      <c:layout>
        <c:manualLayout>
          <c:xMode val="edge"/>
          <c:yMode val="edge"/>
          <c:x val="0.19238990959463401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Собираемость нарастающим итогом в %, по годам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6.9444444444444441E-3"/>
                  <c:y val="3.5714285714285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C1D-49C4-8F2E-CC172B2ACF6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4722222222222224E-2"/>
                  <c:y val="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C1D-49C4-8F2E-CC172B2ACF6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3981481481481483E-2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FE6-423D-8A85-E857E453A18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0833333333333332E-2"/>
                  <c:y val="-5.95238095238095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FD2-4A31-A459-A7CD0260225B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3888888888888888E-2"/>
                  <c:y val="4.7619047619047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6.25E-2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21.89</c:v>
                </c:pt>
                <c:pt idx="1">
                  <c:v>83.06</c:v>
                </c:pt>
                <c:pt idx="2">
                  <c:v>84.51</c:v>
                </c:pt>
                <c:pt idx="3">
                  <c:v>91.97</c:v>
                </c:pt>
                <c:pt idx="4">
                  <c:v>91.72</c:v>
                </c:pt>
                <c:pt idx="5">
                  <c:v>97.14</c:v>
                </c:pt>
                <c:pt idx="6">
                  <c:v>99.5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C1D-49C4-8F2E-CC172B2ACF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9270704"/>
        <c:axId val="1249269072"/>
      </c:lineChart>
      <c:catAx>
        <c:axId val="1249270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9269072"/>
        <c:crosses val="autoZero"/>
        <c:auto val="1"/>
        <c:lblAlgn val="ctr"/>
        <c:lblOffset val="100"/>
        <c:noMultiLvlLbl val="0"/>
      </c:catAx>
      <c:valAx>
        <c:axId val="1249269072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9270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взыскания задолженности за 2015-2020 года по количеству исковых заявлений в суд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заявлений в суд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Pt>
            <c:idx val="2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7E03-4CAC-91A4-DBC4D79510BE}"/>
              </c:ext>
            </c:extLst>
          </c:dPt>
          <c:dLbls>
            <c:dLbl>
              <c:idx val="0"/>
              <c:layout>
                <c:manualLayout>
                  <c:x val="-2.3148148148148192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E03-4CAC-91A4-DBC4D79510B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19293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07C-41F3-87DA-FA2ED358838B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9444444444444441E-3"/>
                  <c:y val="-3.57142857142857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12331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06E-44EA-A393-9C22B7CDC90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1052</c:v>
                </c:pt>
                <c:pt idx="1">
                  <c:v>1710</c:v>
                </c:pt>
                <c:pt idx="2">
                  <c:v>12551</c:v>
                </c:pt>
                <c:pt idx="3">
                  <c:v>19293</c:v>
                </c:pt>
                <c:pt idx="4">
                  <c:v>12331</c:v>
                </c:pt>
                <c:pt idx="5">
                  <c:v>12601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E03-4CAC-91A4-DBC4D79510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49265264"/>
        <c:axId val="1249268528"/>
      </c:lineChart>
      <c:catAx>
        <c:axId val="124926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9268528"/>
        <c:crosses val="autoZero"/>
        <c:auto val="1"/>
        <c:lblAlgn val="ctr"/>
        <c:lblOffset val="100"/>
        <c:noMultiLvlLbl val="0"/>
      </c:catAx>
      <c:valAx>
        <c:axId val="1249268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9265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Ирина</dc:creator>
  <cp:keywords/>
  <dc:description/>
  <cp:lastModifiedBy>Рубцова Ирина</cp:lastModifiedBy>
  <cp:revision>7</cp:revision>
  <cp:lastPrinted>2020-01-13T09:45:00Z</cp:lastPrinted>
  <dcterms:created xsi:type="dcterms:W3CDTF">2020-12-25T11:20:00Z</dcterms:created>
  <dcterms:modified xsi:type="dcterms:W3CDTF">2021-02-26T09:31:00Z</dcterms:modified>
</cp:coreProperties>
</file>